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5D" w:rsidRPr="005D325D" w:rsidRDefault="000D5987" w:rsidP="005D325D">
      <w:pPr>
        <w:spacing w:after="0" w:line="240" w:lineRule="auto"/>
        <w:jc w:val="center"/>
        <w:rPr>
          <w:rFonts w:ascii="Book Antiqua" w:hAnsi="Book Antiqua"/>
          <w:b/>
          <w:color w:val="auto"/>
          <w:u w:val="single"/>
        </w:rPr>
      </w:pPr>
      <w:r>
        <w:rPr>
          <w:b/>
          <w:noProof/>
          <w:szCs w:val="24"/>
        </w:rPr>
        <w:drawing>
          <wp:inline distT="0" distB="0" distL="0" distR="0" wp14:anchorId="7C64DBF1" wp14:editId="44569C58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325D" w:rsidRPr="002729D7" w:rsidRDefault="005D325D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</w:p>
    <w:p w:rsidR="005D325D" w:rsidRDefault="005D325D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  <w:r w:rsidRPr="002729D7">
        <w:rPr>
          <w:rFonts w:ascii="Book Antiqua" w:hAnsi="Book Antiqua"/>
          <w:b/>
          <w:color w:val="auto"/>
          <w:sz w:val="22"/>
        </w:rPr>
        <w:t>Office of Sponsored Programs</w:t>
      </w:r>
      <w:r w:rsidR="000D5987">
        <w:rPr>
          <w:rFonts w:ascii="Book Antiqua" w:hAnsi="Book Antiqua"/>
          <w:b/>
          <w:color w:val="auto"/>
          <w:sz w:val="22"/>
        </w:rPr>
        <w:t xml:space="preserve"> and Foundation Relations</w:t>
      </w:r>
    </w:p>
    <w:p w:rsidR="00EE7552" w:rsidRPr="004935DC" w:rsidRDefault="004935DC" w:rsidP="004935DC">
      <w:pPr>
        <w:jc w:val="center"/>
        <w:rPr>
          <w:rFonts w:ascii="Book Antiqua" w:hAnsi="Book Antiqua"/>
          <w:b/>
        </w:rPr>
      </w:pPr>
      <w:r w:rsidRPr="004935DC">
        <w:rPr>
          <w:rFonts w:ascii="Book Antiqua" w:hAnsi="Book Antiqua"/>
          <w:b/>
        </w:rPr>
        <w:t>Business Office</w:t>
      </w:r>
    </w:p>
    <w:p w:rsidR="005D325D" w:rsidRPr="002729D7" w:rsidRDefault="00C17F7A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  <w:r>
        <w:rPr>
          <w:rFonts w:ascii="Book Antiqua" w:hAnsi="Book Antiqua"/>
          <w:b/>
          <w:color w:val="auto"/>
          <w:sz w:val="22"/>
        </w:rPr>
        <w:t>GRANT CLOSE-OUT PROCEDURES</w:t>
      </w:r>
      <w:r w:rsidR="00583C70">
        <w:rPr>
          <w:rFonts w:ascii="Book Antiqua" w:hAnsi="Book Antiqua"/>
          <w:b/>
          <w:color w:val="auto"/>
          <w:sz w:val="22"/>
        </w:rPr>
        <w:t xml:space="preserve"> </w:t>
      </w:r>
    </w:p>
    <w:p w:rsidR="005D325D" w:rsidRDefault="00847B5A" w:rsidP="005D325D">
      <w:pPr>
        <w:pStyle w:val="Heading1"/>
        <w:spacing w:before="0"/>
        <w:ind w:right="72"/>
        <w:jc w:val="center"/>
        <w:rPr>
          <w:rFonts w:ascii="Book Antiqua" w:hAnsi="Book Antiqua"/>
          <w:i/>
          <w:color w:val="auto"/>
          <w:sz w:val="22"/>
        </w:rPr>
      </w:pPr>
      <w:r>
        <w:rPr>
          <w:rFonts w:ascii="Book Antiqua" w:hAnsi="Book Antiqua"/>
          <w:i/>
          <w:color w:val="auto"/>
          <w:sz w:val="22"/>
        </w:rPr>
        <w:t>Created</w:t>
      </w:r>
      <w:r w:rsidR="009166CA">
        <w:rPr>
          <w:rFonts w:ascii="Book Antiqua" w:hAnsi="Book Antiqua"/>
          <w:i/>
          <w:color w:val="auto"/>
          <w:sz w:val="22"/>
        </w:rPr>
        <w:t>:</w:t>
      </w:r>
      <w:r w:rsidR="00C10C71">
        <w:rPr>
          <w:rFonts w:ascii="Book Antiqua" w:hAnsi="Book Antiqua"/>
          <w:i/>
          <w:color w:val="auto"/>
          <w:sz w:val="22"/>
        </w:rPr>
        <w:t xml:space="preserve"> February 2021</w:t>
      </w:r>
    </w:p>
    <w:p w:rsidR="004D79D0" w:rsidRPr="004D79D0" w:rsidRDefault="004D79D0" w:rsidP="004D79D0">
      <w:pPr>
        <w:pStyle w:val="NoSpacing"/>
        <w:jc w:val="center"/>
        <w:rPr>
          <w:i/>
        </w:rPr>
      </w:pPr>
      <w:r w:rsidRPr="004D79D0">
        <w:rPr>
          <w:i/>
        </w:rPr>
        <w:t xml:space="preserve">Next </w:t>
      </w:r>
      <w:r w:rsidR="00152C24">
        <w:rPr>
          <w:i/>
        </w:rPr>
        <w:t>review</w:t>
      </w:r>
      <w:r w:rsidRPr="004D79D0">
        <w:rPr>
          <w:i/>
        </w:rPr>
        <w:t xml:space="preserve">: </w:t>
      </w:r>
      <w:r w:rsidR="005F3D7B">
        <w:rPr>
          <w:i/>
        </w:rPr>
        <w:t>Fall</w:t>
      </w:r>
      <w:r w:rsidRPr="004D79D0">
        <w:rPr>
          <w:i/>
        </w:rPr>
        <w:t xml:space="preserve"> 202</w:t>
      </w:r>
      <w:r w:rsidR="006B47BF">
        <w:rPr>
          <w:i/>
        </w:rPr>
        <w:t>3</w:t>
      </w:r>
    </w:p>
    <w:p w:rsidR="005D325D" w:rsidRDefault="005D325D" w:rsidP="005D325D"/>
    <w:p w:rsidR="002729D7" w:rsidRDefault="002729D7" w:rsidP="002729D7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PURPOSE</w:t>
      </w:r>
    </w:p>
    <w:p w:rsidR="008254C9" w:rsidRDefault="00583C70" w:rsidP="007F09CF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The purpose of these procedures is to </w:t>
      </w:r>
      <w:r w:rsidR="007F09CF">
        <w:rPr>
          <w:shd w:val="clear" w:color="auto" w:fill="FFFFFF"/>
        </w:rPr>
        <w:t xml:space="preserve">set guidelines for </w:t>
      </w:r>
      <w:r w:rsidR="003556AD">
        <w:rPr>
          <w:shd w:val="clear" w:color="auto" w:fill="FFFFFF"/>
        </w:rPr>
        <w:t xml:space="preserve">the </w:t>
      </w:r>
      <w:r w:rsidR="007F09CF">
        <w:rPr>
          <w:shd w:val="clear" w:color="auto" w:fill="FFFFFF"/>
        </w:rPr>
        <w:t>project closeout on exter</w:t>
      </w:r>
      <w:r w:rsidR="00E75FBC">
        <w:rPr>
          <w:shd w:val="clear" w:color="auto" w:fill="FFFFFF"/>
        </w:rPr>
        <w:t>nally funded sponsored projects in compliance with the Federal</w:t>
      </w:r>
      <w:r w:rsidR="00962834">
        <w:rPr>
          <w:shd w:val="clear" w:color="auto" w:fill="FFFFFF"/>
        </w:rPr>
        <w:t xml:space="preserve"> Uniform Guidance (2</w:t>
      </w:r>
      <w:r w:rsidR="007F09CF">
        <w:rPr>
          <w:shd w:val="clear" w:color="auto" w:fill="FFFFFF"/>
        </w:rPr>
        <w:t xml:space="preserve"> CFR Part 200).  </w:t>
      </w:r>
    </w:p>
    <w:p w:rsidR="008254C9" w:rsidRDefault="008254C9" w:rsidP="007F09CF">
      <w:pPr>
        <w:pStyle w:val="NoSpacing"/>
        <w:rPr>
          <w:shd w:val="clear" w:color="auto" w:fill="FFFFFF"/>
        </w:rPr>
      </w:pPr>
    </w:p>
    <w:p w:rsidR="008254C9" w:rsidRPr="008254C9" w:rsidRDefault="008254C9" w:rsidP="007F09CF">
      <w:pPr>
        <w:pStyle w:val="NoSpacing"/>
        <w:rPr>
          <w:b/>
          <w:shd w:val="clear" w:color="auto" w:fill="FFFFFF"/>
        </w:rPr>
      </w:pPr>
      <w:r w:rsidRPr="008254C9">
        <w:rPr>
          <w:b/>
          <w:shd w:val="clear" w:color="auto" w:fill="FFFFFF"/>
        </w:rPr>
        <w:t>BACKGROUND</w:t>
      </w:r>
    </w:p>
    <w:p w:rsidR="00571FBC" w:rsidRDefault="00583C70" w:rsidP="007F09CF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Closeout is a process that takes place after an award expires or terminates.  </w:t>
      </w:r>
      <w:r w:rsidR="00C31437">
        <w:rPr>
          <w:shd w:val="clear" w:color="auto" w:fill="FFFFFF"/>
        </w:rPr>
        <w:t xml:space="preserve">It is the period of time when the funder evaluates whether </w:t>
      </w:r>
      <w:r w:rsidR="009E60F0">
        <w:rPr>
          <w:shd w:val="clear" w:color="auto" w:fill="FFFFFF"/>
        </w:rPr>
        <w:t>the P</w:t>
      </w:r>
      <w:r w:rsidR="00762FA5">
        <w:rPr>
          <w:shd w:val="clear" w:color="auto" w:fill="FFFFFF"/>
        </w:rPr>
        <w:t>rincipal Investigator (PI)/Project Director (PD)</w:t>
      </w:r>
      <w:r w:rsidR="009E60F0">
        <w:rPr>
          <w:shd w:val="clear" w:color="auto" w:fill="FFFFFF"/>
        </w:rPr>
        <w:t xml:space="preserve"> has achieved </w:t>
      </w:r>
      <w:r w:rsidR="00C31437">
        <w:rPr>
          <w:shd w:val="clear" w:color="auto" w:fill="FFFFFF"/>
        </w:rPr>
        <w:t xml:space="preserve">all deliverables and all administrative actions completed. </w:t>
      </w:r>
      <w:r>
        <w:rPr>
          <w:shd w:val="clear" w:color="auto" w:fill="FFFFFF"/>
        </w:rPr>
        <w:t xml:space="preserve">The projected closeout date may be found on the Notice of Award </w:t>
      </w:r>
      <w:r w:rsidR="008254C9">
        <w:rPr>
          <w:shd w:val="clear" w:color="auto" w:fill="FFFFFF"/>
        </w:rPr>
        <w:t xml:space="preserve">(NOA) </w:t>
      </w:r>
      <w:r>
        <w:rPr>
          <w:shd w:val="clear" w:color="auto" w:fill="FFFFFF"/>
        </w:rPr>
        <w:t>issued by the federal government.</w:t>
      </w:r>
      <w:r w:rsidR="008254C9">
        <w:rPr>
          <w:shd w:val="clear" w:color="auto" w:fill="FFFFFF"/>
        </w:rPr>
        <w:t xml:space="preserve"> If the award received a no-cost extension, the original end date for the award may be </w:t>
      </w:r>
      <w:r w:rsidR="003556AD">
        <w:rPr>
          <w:shd w:val="clear" w:color="auto" w:fill="FFFFFF"/>
        </w:rPr>
        <w:t>updated.</w:t>
      </w:r>
      <w:r w:rsidR="009E60F0">
        <w:rPr>
          <w:shd w:val="clear" w:color="auto" w:fill="FFFFFF"/>
        </w:rPr>
        <w:t xml:space="preserve">  The NOA </w:t>
      </w:r>
      <w:r w:rsidR="008254C9">
        <w:rPr>
          <w:shd w:val="clear" w:color="auto" w:fill="FFFFFF"/>
        </w:rPr>
        <w:t>specifies all closeout requirements</w:t>
      </w:r>
      <w:r w:rsidR="00C31437">
        <w:rPr>
          <w:shd w:val="clear" w:color="auto" w:fill="FFFFFF"/>
        </w:rPr>
        <w:t>, including terms and conditions</w:t>
      </w:r>
      <w:r w:rsidR="008254C9">
        <w:rPr>
          <w:shd w:val="clear" w:color="auto" w:fill="FFFFFF"/>
        </w:rPr>
        <w:t xml:space="preserve">.  </w:t>
      </w:r>
    </w:p>
    <w:p w:rsidR="00BD2494" w:rsidRDefault="00BD2494" w:rsidP="007F09CF">
      <w:pPr>
        <w:pStyle w:val="NoSpacing"/>
        <w:rPr>
          <w:shd w:val="clear" w:color="auto" w:fill="FFFFFF"/>
        </w:rPr>
      </w:pPr>
    </w:p>
    <w:p w:rsidR="00BD2494" w:rsidRPr="00590A49" w:rsidRDefault="00BD2494" w:rsidP="007F09CF">
      <w:pPr>
        <w:pStyle w:val="NoSpacing"/>
        <w:rPr>
          <w:b/>
          <w:shd w:val="clear" w:color="auto" w:fill="FFFFFF"/>
        </w:rPr>
      </w:pPr>
      <w:r w:rsidRPr="00590A49">
        <w:rPr>
          <w:b/>
          <w:shd w:val="clear" w:color="auto" w:fill="FFFFFF"/>
        </w:rPr>
        <w:t>TIMELINE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25"/>
        <w:gridCol w:w="3330"/>
        <w:gridCol w:w="3780"/>
      </w:tblGrid>
      <w:tr w:rsidR="00EE7552" w:rsidRPr="00762FA5" w:rsidTr="00762FA5">
        <w:tc>
          <w:tcPr>
            <w:tcW w:w="2425" w:type="dxa"/>
            <w:shd w:val="clear" w:color="auto" w:fill="D9D9D9" w:themeFill="background1" w:themeFillShade="D9"/>
          </w:tcPr>
          <w:p w:rsidR="00EE7552" w:rsidRPr="00762FA5" w:rsidRDefault="00EE7552" w:rsidP="007F09C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E7552" w:rsidRPr="00762FA5" w:rsidRDefault="00EE7552" w:rsidP="007F09CF">
            <w:pPr>
              <w:pStyle w:val="NoSpacing"/>
              <w:rPr>
                <w:b/>
                <w:sz w:val="20"/>
                <w:szCs w:val="20"/>
              </w:rPr>
            </w:pPr>
            <w:r w:rsidRPr="00762FA5">
              <w:rPr>
                <w:b/>
                <w:sz w:val="20"/>
                <w:szCs w:val="20"/>
              </w:rPr>
              <w:t>OSP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EE7552" w:rsidRPr="00762FA5" w:rsidRDefault="00EE7552" w:rsidP="007F09CF">
            <w:pPr>
              <w:pStyle w:val="NoSpacing"/>
              <w:rPr>
                <w:b/>
                <w:sz w:val="20"/>
                <w:szCs w:val="20"/>
              </w:rPr>
            </w:pPr>
            <w:r w:rsidRPr="00762FA5">
              <w:rPr>
                <w:b/>
                <w:sz w:val="20"/>
                <w:szCs w:val="20"/>
              </w:rPr>
              <w:t>Business Office</w:t>
            </w:r>
          </w:p>
        </w:tc>
      </w:tr>
      <w:tr w:rsidR="00EE7552" w:rsidRPr="00762FA5" w:rsidTr="00762FA5">
        <w:tc>
          <w:tcPr>
            <w:tcW w:w="2425" w:type="dxa"/>
          </w:tcPr>
          <w:p w:rsidR="004E180B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120 days prior to the award end date</w:t>
            </w:r>
            <w:r w:rsidR="004E180B" w:rsidRPr="00762FA5">
              <w:rPr>
                <w:sz w:val="20"/>
                <w:szCs w:val="20"/>
              </w:rPr>
              <w:t xml:space="preserve"> </w:t>
            </w:r>
          </w:p>
          <w:p w:rsidR="004E180B" w:rsidRPr="00762FA5" w:rsidRDefault="004E180B" w:rsidP="007F09CF">
            <w:pPr>
              <w:pStyle w:val="NoSpacing"/>
              <w:rPr>
                <w:sz w:val="20"/>
                <w:szCs w:val="20"/>
              </w:rPr>
            </w:pPr>
          </w:p>
          <w:p w:rsidR="00EE7552" w:rsidRPr="00762FA5" w:rsidRDefault="004E180B" w:rsidP="007F09CF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(note: a meeting with the PI will be scheduled with both the OSP</w:t>
            </w:r>
            <w:r w:rsidR="000D5987">
              <w:rPr>
                <w:sz w:val="20"/>
                <w:szCs w:val="20"/>
              </w:rPr>
              <w:t>FR</w:t>
            </w:r>
            <w:r w:rsidRPr="00762FA5">
              <w:rPr>
                <w:sz w:val="20"/>
                <w:szCs w:val="20"/>
              </w:rPr>
              <w:t xml:space="preserve"> and the Business Office)</w:t>
            </w:r>
          </w:p>
        </w:tc>
        <w:tc>
          <w:tcPr>
            <w:tcW w:w="3330" w:type="dxa"/>
          </w:tcPr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OSP</w:t>
            </w:r>
            <w:r w:rsidR="000D5987">
              <w:rPr>
                <w:sz w:val="20"/>
                <w:szCs w:val="20"/>
              </w:rPr>
              <w:t>FR</w:t>
            </w:r>
            <w:r w:rsidRPr="00762FA5">
              <w:rPr>
                <w:sz w:val="20"/>
                <w:szCs w:val="20"/>
              </w:rPr>
              <w:t xml:space="preserve"> communicates with PD/PI that the project is ending and requests an update on the completion of grant project deliverables/milestones.</w:t>
            </w:r>
          </w:p>
        </w:tc>
        <w:tc>
          <w:tcPr>
            <w:tcW w:w="3780" w:type="dxa"/>
          </w:tcPr>
          <w:p w:rsidR="00EE7552" w:rsidRPr="00762FA5" w:rsidRDefault="0089054D" w:rsidP="007F09CF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Business office provides PI</w:t>
            </w:r>
            <w:r w:rsidR="005424B6">
              <w:rPr>
                <w:sz w:val="20"/>
                <w:szCs w:val="20"/>
              </w:rPr>
              <w:t>/PD</w:t>
            </w:r>
            <w:r w:rsidRPr="00762FA5">
              <w:rPr>
                <w:sz w:val="20"/>
                <w:szCs w:val="20"/>
              </w:rPr>
              <w:t xml:space="preserve"> with an updated Budget Vs. Actual Report.</w:t>
            </w:r>
          </w:p>
        </w:tc>
      </w:tr>
      <w:tr w:rsidR="00EE7552" w:rsidRPr="00762FA5" w:rsidTr="00762FA5">
        <w:tc>
          <w:tcPr>
            <w:tcW w:w="2425" w:type="dxa"/>
          </w:tcPr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90 days prior to the award end date</w:t>
            </w:r>
          </w:p>
        </w:tc>
        <w:tc>
          <w:tcPr>
            <w:tcW w:w="3330" w:type="dxa"/>
          </w:tcPr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OSP</w:t>
            </w:r>
            <w:r w:rsidR="000D5987">
              <w:rPr>
                <w:sz w:val="20"/>
                <w:szCs w:val="20"/>
              </w:rPr>
              <w:t>FR</w:t>
            </w:r>
            <w:r w:rsidRPr="00762FA5">
              <w:rPr>
                <w:sz w:val="20"/>
                <w:szCs w:val="20"/>
              </w:rPr>
              <w:t xml:space="preserve"> notifies the PD/PI of the pending closeout and reviews the terms and conditions of the award, including the following:</w:t>
            </w:r>
          </w:p>
          <w:p w:rsidR="00EE7552" w:rsidRPr="00762FA5" w:rsidRDefault="00EE7552" w:rsidP="00425722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Contents of final narrative report</w:t>
            </w:r>
          </w:p>
          <w:p w:rsidR="00EE7552" w:rsidRPr="00762FA5" w:rsidRDefault="00EE7552" w:rsidP="00425722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Deadline for submitting the final narrative report</w:t>
            </w:r>
          </w:p>
          <w:p w:rsidR="00EE7552" w:rsidRPr="00762FA5" w:rsidRDefault="00EE7552" w:rsidP="00425722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Method for submitting the final narrative report (submitted by the PI/PD or OSP</w:t>
            </w:r>
            <w:r w:rsidR="000D5987">
              <w:rPr>
                <w:sz w:val="20"/>
                <w:szCs w:val="20"/>
              </w:rPr>
              <w:t>FR</w:t>
            </w:r>
            <w:r w:rsidRPr="00762FA5">
              <w:rPr>
                <w:sz w:val="20"/>
                <w:szCs w:val="20"/>
              </w:rPr>
              <w:t>)</w:t>
            </w:r>
          </w:p>
          <w:p w:rsidR="00EE7552" w:rsidRPr="00762FA5" w:rsidRDefault="00EE7552" w:rsidP="00052AB1">
            <w:pPr>
              <w:pStyle w:val="NoSpacing"/>
              <w:rPr>
                <w:sz w:val="20"/>
                <w:szCs w:val="20"/>
              </w:rPr>
            </w:pPr>
          </w:p>
          <w:p w:rsidR="00EE7552" w:rsidRPr="00762FA5" w:rsidRDefault="00EE7552" w:rsidP="00052AB1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lastRenderedPageBreak/>
              <w:t>OSP</w:t>
            </w:r>
            <w:r w:rsidR="000D5987">
              <w:rPr>
                <w:sz w:val="20"/>
                <w:szCs w:val="20"/>
              </w:rPr>
              <w:t>FR</w:t>
            </w:r>
            <w:r w:rsidRPr="00762FA5">
              <w:rPr>
                <w:sz w:val="20"/>
                <w:szCs w:val="20"/>
              </w:rPr>
              <w:t xml:space="preserve"> informs any </w:t>
            </w:r>
            <w:proofErr w:type="spellStart"/>
            <w:r w:rsidRPr="00762FA5">
              <w:rPr>
                <w:sz w:val="20"/>
                <w:szCs w:val="20"/>
              </w:rPr>
              <w:t>subrecipients</w:t>
            </w:r>
            <w:proofErr w:type="spellEnd"/>
            <w:r w:rsidRPr="00762FA5">
              <w:rPr>
                <w:sz w:val="20"/>
                <w:szCs w:val="20"/>
              </w:rPr>
              <w:t xml:space="preserve"> of the pending closeout.</w:t>
            </w:r>
          </w:p>
        </w:tc>
        <w:tc>
          <w:tcPr>
            <w:tcW w:w="3780" w:type="dxa"/>
          </w:tcPr>
          <w:p w:rsidR="00EE7552" w:rsidRPr="00762FA5" w:rsidRDefault="0089054D" w:rsidP="007F09CF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lastRenderedPageBreak/>
              <w:t>Business office provides PI</w:t>
            </w:r>
            <w:r w:rsidR="005424B6">
              <w:rPr>
                <w:sz w:val="20"/>
                <w:szCs w:val="20"/>
              </w:rPr>
              <w:t>/PD</w:t>
            </w:r>
            <w:r w:rsidRPr="00762FA5">
              <w:rPr>
                <w:sz w:val="20"/>
                <w:szCs w:val="20"/>
              </w:rPr>
              <w:t xml:space="preserve"> with an updated Budget Vs. Actual Report.</w:t>
            </w:r>
          </w:p>
        </w:tc>
      </w:tr>
      <w:tr w:rsidR="00EE7552" w:rsidRPr="00762FA5" w:rsidTr="00762FA5">
        <w:trPr>
          <w:trHeight w:val="3023"/>
        </w:trPr>
        <w:tc>
          <w:tcPr>
            <w:tcW w:w="2425" w:type="dxa"/>
          </w:tcPr>
          <w:p w:rsidR="00EE7552" w:rsidRPr="00762FA5" w:rsidRDefault="00EE7552" w:rsidP="00F9750A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45 days prior to award end date</w:t>
            </w:r>
          </w:p>
        </w:tc>
        <w:tc>
          <w:tcPr>
            <w:tcW w:w="3330" w:type="dxa"/>
          </w:tcPr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54D" w:rsidRPr="00762FA5" w:rsidRDefault="0089054D" w:rsidP="00DC65D1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t>Provide PI</w:t>
            </w:r>
            <w:r w:rsidR="00762FA5" w:rsidRPr="00762FA5">
              <w:rPr>
                <w:rFonts w:ascii="Book Antiqua" w:hAnsi="Book Antiqua"/>
                <w:sz w:val="20"/>
                <w:szCs w:val="20"/>
              </w:rPr>
              <w:t>/PD</w:t>
            </w:r>
            <w:r w:rsidRPr="00762FA5">
              <w:rPr>
                <w:rFonts w:ascii="Book Antiqua" w:hAnsi="Book Antiqua"/>
                <w:sz w:val="20"/>
                <w:szCs w:val="20"/>
              </w:rPr>
              <w:t xml:space="preserve"> with a Budget </w:t>
            </w:r>
            <w:proofErr w:type="gramStart"/>
            <w:r w:rsidRPr="00762FA5">
              <w:rPr>
                <w:rFonts w:ascii="Book Antiqua" w:hAnsi="Book Antiqua"/>
                <w:sz w:val="20"/>
                <w:szCs w:val="20"/>
              </w:rPr>
              <w:t>Vs</w:t>
            </w:r>
            <w:proofErr w:type="gramEnd"/>
            <w:r w:rsidRPr="00762FA5">
              <w:rPr>
                <w:rFonts w:ascii="Book Antiqua" w:hAnsi="Book Antiqua"/>
                <w:sz w:val="20"/>
                <w:szCs w:val="20"/>
              </w:rPr>
              <w:t>. Actual report and meet to discuss final expenditures.</w:t>
            </w:r>
          </w:p>
          <w:p w:rsidR="0089054D" w:rsidRPr="00762FA5" w:rsidRDefault="0089054D" w:rsidP="00DC65D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 xml:space="preserve">Confirm that the PI has reviewed all award expenditures &amp; ensure </w:t>
            </w:r>
            <w:proofErr w:type="spellStart"/>
            <w:r w:rsidRPr="00762FA5">
              <w:rPr>
                <w:sz w:val="20"/>
                <w:szCs w:val="20"/>
              </w:rPr>
              <w:t>allowability</w:t>
            </w:r>
            <w:proofErr w:type="spellEnd"/>
            <w:r w:rsidRPr="00762FA5">
              <w:rPr>
                <w:sz w:val="20"/>
                <w:szCs w:val="20"/>
              </w:rPr>
              <w:t xml:space="preserve"> and </w:t>
            </w:r>
            <w:proofErr w:type="spellStart"/>
            <w:r w:rsidRPr="00762FA5">
              <w:rPr>
                <w:sz w:val="20"/>
                <w:szCs w:val="20"/>
              </w:rPr>
              <w:t>allocability</w:t>
            </w:r>
            <w:proofErr w:type="spellEnd"/>
          </w:p>
          <w:p w:rsidR="0089054D" w:rsidRPr="00762FA5" w:rsidRDefault="0089054D" w:rsidP="00DC65D1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t xml:space="preserve">Receive or reject invoices posting to Banner in a timely manner, consistent with this policy and any associated agreement, such as a </w:t>
            </w:r>
            <w:proofErr w:type="spellStart"/>
            <w:r w:rsidRPr="00762FA5">
              <w:rPr>
                <w:rFonts w:ascii="Book Antiqua" w:hAnsi="Book Antiqua"/>
                <w:sz w:val="20"/>
                <w:szCs w:val="20"/>
              </w:rPr>
              <w:t>subaward</w:t>
            </w:r>
            <w:proofErr w:type="spellEnd"/>
            <w:r w:rsidRPr="00762FA5">
              <w:rPr>
                <w:rFonts w:ascii="Book Antiqua" w:hAnsi="Book Antiqua"/>
                <w:sz w:val="20"/>
                <w:szCs w:val="20"/>
              </w:rPr>
              <w:t xml:space="preserve"> agreement.</w:t>
            </w:r>
          </w:p>
          <w:p w:rsidR="0089054D" w:rsidRPr="001867D2" w:rsidRDefault="00DC65D1" w:rsidP="001867D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867D2">
              <w:rPr>
                <w:rFonts w:ascii="Book Antiqua" w:hAnsi="Book Antiqua"/>
                <w:sz w:val="20"/>
                <w:szCs w:val="20"/>
              </w:rPr>
              <w:t>Report all equipment purchases to OSP</w:t>
            </w:r>
            <w:r w:rsidR="000D5987">
              <w:rPr>
                <w:rFonts w:ascii="Book Antiqua" w:hAnsi="Book Antiqua"/>
                <w:sz w:val="20"/>
                <w:szCs w:val="20"/>
              </w:rPr>
              <w:t>FR</w:t>
            </w:r>
            <w:r w:rsidRPr="001867D2">
              <w:rPr>
                <w:rFonts w:ascii="Book Antiqua" w:hAnsi="Book Antiqua"/>
                <w:sz w:val="20"/>
                <w:szCs w:val="20"/>
              </w:rPr>
              <w:t xml:space="preserve"> within 45 – 90 days after the end of award (or earlier depending on closeout requirement).</w:t>
            </w:r>
          </w:p>
        </w:tc>
      </w:tr>
      <w:tr w:rsidR="0089054D" w:rsidRPr="00762FA5" w:rsidTr="00762FA5">
        <w:tc>
          <w:tcPr>
            <w:tcW w:w="2425" w:type="dxa"/>
          </w:tcPr>
          <w:p w:rsidR="0089054D" w:rsidRPr="00762FA5" w:rsidRDefault="00865143" w:rsidP="00F9750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62FA5">
              <w:rPr>
                <w:sz w:val="20"/>
                <w:szCs w:val="20"/>
              </w:rPr>
              <w:t xml:space="preserve"> </w:t>
            </w:r>
            <w:r w:rsidR="00D95E5A" w:rsidRPr="00762FA5">
              <w:rPr>
                <w:sz w:val="20"/>
                <w:szCs w:val="20"/>
              </w:rPr>
              <w:t>days prior to award end date</w:t>
            </w:r>
          </w:p>
        </w:tc>
        <w:tc>
          <w:tcPr>
            <w:tcW w:w="3330" w:type="dxa"/>
          </w:tcPr>
          <w:p w:rsidR="0089054D" w:rsidRPr="00762FA5" w:rsidRDefault="0089054D" w:rsidP="007F09C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54D" w:rsidRPr="00762FA5" w:rsidRDefault="00D95E5A" w:rsidP="001B66E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t>PI</w:t>
            </w:r>
            <w:r w:rsidR="00762FA5" w:rsidRPr="00762FA5">
              <w:rPr>
                <w:rFonts w:ascii="Book Antiqua" w:hAnsi="Book Antiqua"/>
                <w:sz w:val="20"/>
                <w:szCs w:val="20"/>
              </w:rPr>
              <w:t>/PD</w:t>
            </w:r>
            <w:r w:rsidRPr="00762FA5">
              <w:rPr>
                <w:rFonts w:ascii="Book Antiqua" w:hAnsi="Book Antiqua"/>
                <w:sz w:val="20"/>
                <w:szCs w:val="20"/>
              </w:rPr>
              <w:t xml:space="preserve"> submits final purchases and purchase orders.  </w:t>
            </w:r>
            <w:r w:rsidR="001B66EE" w:rsidRPr="00762FA5">
              <w:rPr>
                <w:rFonts w:ascii="Book Antiqua" w:hAnsi="Book Antiqua"/>
                <w:sz w:val="20"/>
                <w:szCs w:val="20"/>
              </w:rPr>
              <w:t>Purchases</w:t>
            </w:r>
            <w:r w:rsidRPr="00762FA5">
              <w:rPr>
                <w:rFonts w:ascii="Book Antiqua" w:hAnsi="Book Antiqua"/>
                <w:sz w:val="20"/>
                <w:szCs w:val="20"/>
              </w:rPr>
              <w:t xml:space="preserve"> submitted after this date will need to be reviewed by the Business Office for </w:t>
            </w:r>
            <w:proofErr w:type="spellStart"/>
            <w:r w:rsidRPr="00762FA5">
              <w:rPr>
                <w:rFonts w:ascii="Book Antiqua" w:hAnsi="Book Antiqua"/>
                <w:sz w:val="20"/>
                <w:szCs w:val="20"/>
              </w:rPr>
              <w:t>allowability</w:t>
            </w:r>
            <w:proofErr w:type="spellEnd"/>
            <w:r w:rsidRPr="00762FA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EE7552" w:rsidRPr="00762FA5" w:rsidTr="00762FA5">
        <w:tc>
          <w:tcPr>
            <w:tcW w:w="2425" w:type="dxa"/>
          </w:tcPr>
          <w:p w:rsidR="00EE7552" w:rsidRPr="00762FA5" w:rsidRDefault="00EE7552" w:rsidP="00F9750A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Final report deadline</w:t>
            </w:r>
          </w:p>
        </w:tc>
        <w:tc>
          <w:tcPr>
            <w:tcW w:w="3330" w:type="dxa"/>
          </w:tcPr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Federal agencies require all closeout documents to be submitted within 90 days after the grant period ends.</w:t>
            </w:r>
          </w:p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</w:p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PI/PD informs the OSP</w:t>
            </w:r>
            <w:r w:rsidR="000D5987">
              <w:rPr>
                <w:sz w:val="20"/>
                <w:szCs w:val="20"/>
              </w:rPr>
              <w:t>FR</w:t>
            </w:r>
            <w:r w:rsidRPr="00762FA5">
              <w:rPr>
                <w:sz w:val="20"/>
                <w:szCs w:val="20"/>
              </w:rPr>
              <w:t xml:space="preserve"> that the report was successfully submitted (if PI/PD directly submits the report to the agency)</w:t>
            </w:r>
          </w:p>
        </w:tc>
        <w:tc>
          <w:tcPr>
            <w:tcW w:w="3780" w:type="dxa"/>
          </w:tcPr>
          <w:p w:rsidR="00EE7552" w:rsidRPr="00762FA5" w:rsidRDefault="00EE7552" w:rsidP="0089054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EE7552" w:rsidRPr="00762FA5" w:rsidTr="00762FA5">
        <w:tc>
          <w:tcPr>
            <w:tcW w:w="2425" w:type="dxa"/>
            <w:shd w:val="clear" w:color="auto" w:fill="FFC000"/>
          </w:tcPr>
          <w:p w:rsidR="00EE7552" w:rsidRPr="00762FA5" w:rsidRDefault="00EE7552" w:rsidP="00F9750A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Award end date</w:t>
            </w:r>
          </w:p>
        </w:tc>
        <w:tc>
          <w:tcPr>
            <w:tcW w:w="3330" w:type="dxa"/>
            <w:shd w:val="clear" w:color="auto" w:fill="FFC000"/>
          </w:tcPr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000"/>
          </w:tcPr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</w:p>
        </w:tc>
      </w:tr>
      <w:tr w:rsidR="00EE7552" w:rsidRPr="00762FA5" w:rsidTr="00762FA5">
        <w:tc>
          <w:tcPr>
            <w:tcW w:w="2425" w:type="dxa"/>
          </w:tcPr>
          <w:p w:rsidR="00EE7552" w:rsidRPr="00762FA5" w:rsidRDefault="0089054D" w:rsidP="00F9750A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0-60</w:t>
            </w:r>
            <w:r w:rsidR="00EE7552" w:rsidRPr="00762FA5">
              <w:rPr>
                <w:sz w:val="20"/>
                <w:szCs w:val="20"/>
              </w:rPr>
              <w:t xml:space="preserve"> days after award end date</w:t>
            </w:r>
          </w:p>
        </w:tc>
        <w:tc>
          <w:tcPr>
            <w:tcW w:w="3330" w:type="dxa"/>
          </w:tcPr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54D" w:rsidRPr="00762FA5" w:rsidRDefault="0089054D" w:rsidP="0089054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t>Accrue unposted expenses</w:t>
            </w:r>
          </w:p>
          <w:p w:rsidR="0089054D" w:rsidRPr="00762FA5" w:rsidRDefault="0089054D" w:rsidP="0089054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t>Close POs</w:t>
            </w:r>
          </w:p>
          <w:p w:rsidR="0089054D" w:rsidRPr="00762FA5" w:rsidRDefault="0089054D" w:rsidP="0089054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t>Process outstanding cost transfers, if applicable</w:t>
            </w:r>
          </w:p>
          <w:p w:rsidR="00EE7552" w:rsidRPr="00762FA5" w:rsidRDefault="0089054D" w:rsidP="0089054D">
            <w:pPr>
              <w:pStyle w:val="NoSpacing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Collect final PARS and confirm actual effort reflected on Personal Activity Reports match the effort committed amount.  Process adjustments if required</w:t>
            </w:r>
          </w:p>
        </w:tc>
      </w:tr>
      <w:tr w:rsidR="00EE7552" w:rsidRPr="00762FA5" w:rsidTr="00762FA5">
        <w:tc>
          <w:tcPr>
            <w:tcW w:w="2425" w:type="dxa"/>
          </w:tcPr>
          <w:p w:rsidR="00D95E5A" w:rsidRPr="00762FA5" w:rsidRDefault="00D95E5A" w:rsidP="00F9750A">
            <w:pPr>
              <w:pStyle w:val="NoSpacing"/>
              <w:rPr>
                <w:sz w:val="20"/>
                <w:szCs w:val="20"/>
              </w:rPr>
            </w:pPr>
            <w:r w:rsidRPr="00762FA5">
              <w:rPr>
                <w:sz w:val="20"/>
                <w:szCs w:val="20"/>
              </w:rPr>
              <w:t>30 days before final closeout date</w:t>
            </w:r>
          </w:p>
          <w:p w:rsidR="00EE7552" w:rsidRPr="00762FA5" w:rsidRDefault="00EE7552" w:rsidP="00F975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EE7552" w:rsidRPr="00762FA5" w:rsidRDefault="00EE7552" w:rsidP="007F09C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54D" w:rsidRPr="00762FA5" w:rsidRDefault="0089054D" w:rsidP="0089054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t>Submit final invoices based on actual expenses recorded on the GL (accrued them in the adjustment period)</w:t>
            </w:r>
          </w:p>
          <w:p w:rsidR="0089054D" w:rsidRPr="00762FA5" w:rsidRDefault="0089054D" w:rsidP="0089054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t>Review for unallowable expenses</w:t>
            </w:r>
          </w:p>
          <w:p w:rsidR="00D95E5A" w:rsidRPr="00762FA5" w:rsidRDefault="00D95E5A" w:rsidP="00D95E5A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lastRenderedPageBreak/>
              <w:t>Verify costs for FFR</w:t>
            </w:r>
          </w:p>
          <w:p w:rsidR="0089054D" w:rsidRPr="00762FA5" w:rsidRDefault="0089054D" w:rsidP="0089054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762FA5">
              <w:rPr>
                <w:rFonts w:ascii="Book Antiqua" w:hAnsi="Book Antiqua"/>
                <w:sz w:val="20"/>
                <w:szCs w:val="20"/>
              </w:rPr>
              <w:t xml:space="preserve">Submit FFR </w:t>
            </w:r>
          </w:p>
          <w:p w:rsidR="00EE7552" w:rsidRPr="00762FA5" w:rsidRDefault="00EE7552" w:rsidP="0089054D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</w:tr>
      <w:tr w:rsidR="005F2EAC" w:rsidRPr="00762FA5" w:rsidTr="001867D2">
        <w:tc>
          <w:tcPr>
            <w:tcW w:w="2425" w:type="dxa"/>
            <w:shd w:val="clear" w:color="auto" w:fill="auto"/>
          </w:tcPr>
          <w:p w:rsidR="005F2EAC" w:rsidRPr="001867D2" w:rsidRDefault="005F2EAC" w:rsidP="00F9750A">
            <w:pPr>
              <w:pStyle w:val="NoSpacing"/>
              <w:rPr>
                <w:sz w:val="20"/>
                <w:szCs w:val="20"/>
              </w:rPr>
            </w:pPr>
            <w:r w:rsidRPr="001867D2">
              <w:rPr>
                <w:sz w:val="20"/>
                <w:szCs w:val="20"/>
              </w:rPr>
              <w:lastRenderedPageBreak/>
              <w:t>After final closeout</w:t>
            </w:r>
          </w:p>
        </w:tc>
        <w:tc>
          <w:tcPr>
            <w:tcW w:w="3330" w:type="dxa"/>
            <w:shd w:val="clear" w:color="auto" w:fill="auto"/>
          </w:tcPr>
          <w:p w:rsidR="005F2EAC" w:rsidRPr="001867D2" w:rsidRDefault="005F2EAC" w:rsidP="007F09C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5F2EAC" w:rsidRPr="001867D2" w:rsidRDefault="005F2EAC" w:rsidP="0089054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20"/>
                <w:szCs w:val="20"/>
              </w:rPr>
            </w:pPr>
            <w:r w:rsidRPr="001867D2">
              <w:rPr>
                <w:rFonts w:ascii="Book Antiqua" w:hAnsi="Book Antiqua"/>
                <w:sz w:val="20"/>
                <w:szCs w:val="20"/>
              </w:rPr>
              <w:t>Inactivate Banner Fund number</w:t>
            </w:r>
          </w:p>
        </w:tc>
      </w:tr>
    </w:tbl>
    <w:p w:rsidR="007F09CF" w:rsidRDefault="007F09CF" w:rsidP="007F09CF">
      <w:pPr>
        <w:pStyle w:val="NoSpacing"/>
      </w:pPr>
    </w:p>
    <w:p w:rsidR="00120CB4" w:rsidRPr="00120CB4" w:rsidRDefault="00120CB4" w:rsidP="001867D2">
      <w:pPr>
        <w:pStyle w:val="NoSpacing"/>
        <w:rPr>
          <w:u w:val="single"/>
        </w:rPr>
      </w:pPr>
      <w:r w:rsidRPr="00120CB4">
        <w:rPr>
          <w:u w:val="single"/>
        </w:rPr>
        <w:t>Final Programmatic or Technical Report</w:t>
      </w:r>
    </w:p>
    <w:p w:rsidR="00120CB4" w:rsidRDefault="00120CB4" w:rsidP="001867D2">
      <w:pPr>
        <w:pStyle w:val="NoSpacing"/>
      </w:pPr>
      <w:r>
        <w:t xml:space="preserve">All programmatic or technical reports are prepared and filed by the PI/PD.  </w:t>
      </w:r>
      <w:r w:rsidR="00A07720">
        <w:t xml:space="preserve">Reports typically include the following information:  project results as they relate to objectives and deliverables as identified in the proposal, list of challenges and solutions, and list of publications, including those that are in progress.  </w:t>
      </w:r>
      <w:r>
        <w:t>All financial reports are prepared and submitted by the Senior Staff Accountant in the Office of Financial Affairs.</w:t>
      </w:r>
      <w:r w:rsidR="00E62A72">
        <w:t xml:space="preserve">  </w:t>
      </w:r>
      <w:r w:rsidR="00874885">
        <w:t xml:space="preserve">The PI/PD must submit a </w:t>
      </w:r>
      <w:r w:rsidR="00E62A72">
        <w:t>copy of the final programmatic/technical report</w:t>
      </w:r>
      <w:r w:rsidR="00874885">
        <w:t xml:space="preserve"> to </w:t>
      </w:r>
      <w:r w:rsidR="00E62A72">
        <w:t>the Office of Sponsored Programs</w:t>
      </w:r>
      <w:r w:rsidR="000D5987">
        <w:t xml:space="preserve"> and Foundation Relations</w:t>
      </w:r>
      <w:r w:rsidR="00E62A72">
        <w:t>.</w:t>
      </w:r>
      <w:r w:rsidR="00C31437">
        <w:t xml:space="preserve"> All programmatic reports must be approved by the appropriate program officer to meet submission requirements.</w:t>
      </w:r>
    </w:p>
    <w:p w:rsidR="00120CB4" w:rsidRDefault="00120CB4" w:rsidP="007F09CF">
      <w:pPr>
        <w:pStyle w:val="NoSpacing"/>
      </w:pPr>
    </w:p>
    <w:p w:rsidR="00E62A72" w:rsidRPr="00E62A72" w:rsidRDefault="00E62A72" w:rsidP="001867D2">
      <w:pPr>
        <w:pStyle w:val="NoSpacing"/>
        <w:rPr>
          <w:u w:val="single"/>
        </w:rPr>
      </w:pPr>
      <w:r w:rsidRPr="00E62A72">
        <w:rPr>
          <w:u w:val="single"/>
        </w:rPr>
        <w:t>Inventions and Discoveries</w:t>
      </w:r>
    </w:p>
    <w:p w:rsidR="00E62A72" w:rsidRDefault="00C31437" w:rsidP="001867D2">
      <w:pPr>
        <w:pStyle w:val="NoSpacing"/>
      </w:pPr>
      <w:r>
        <w:t>Some funders require the PI</w:t>
      </w:r>
      <w:r w:rsidR="00762FA5">
        <w:t>/PD</w:t>
      </w:r>
      <w:r>
        <w:t xml:space="preserve"> to </w:t>
      </w:r>
      <w:r w:rsidR="00874885" w:rsidRPr="00182262">
        <w:t xml:space="preserve">complete </w:t>
      </w:r>
      <w:r>
        <w:t xml:space="preserve">and submit an </w:t>
      </w:r>
      <w:r w:rsidR="00182262" w:rsidRPr="00182262">
        <w:t>invention or property statement</w:t>
      </w:r>
      <w:r>
        <w:t xml:space="preserve">. </w:t>
      </w:r>
      <w:r w:rsidR="00874885" w:rsidRPr="00182262">
        <w:t>PIs</w:t>
      </w:r>
      <w:r w:rsidR="00874885">
        <w:t xml:space="preserve"> with NIH awards are required to complete a Final Invention Statement and Certification Form (HHS 568) in </w:t>
      </w:r>
      <w:proofErr w:type="spellStart"/>
      <w:r w:rsidR="00874885">
        <w:t>eRA</w:t>
      </w:r>
      <w:proofErr w:type="spellEnd"/>
      <w:r w:rsidR="00874885">
        <w:t xml:space="preserve"> Commons and provide a copy to the Provost</w:t>
      </w:r>
      <w:r w:rsidR="009E60F0">
        <w:t>.</w:t>
      </w:r>
      <w:r w:rsidR="00874885">
        <w:t xml:space="preserve">  </w:t>
      </w:r>
      <w:r w:rsidR="009E60F0">
        <w:t xml:space="preserve">All PIs </w:t>
      </w:r>
      <w:r w:rsidR="00874885">
        <w:t xml:space="preserve">must adhere to the </w:t>
      </w:r>
      <w:r w:rsidR="000D5987">
        <w:t>University’s</w:t>
      </w:r>
      <w:r w:rsidR="00874885">
        <w:t xml:space="preserve"> Policy on Intellectual Property and complete and submit an Invention Disclosure Notice to the Provost.</w:t>
      </w:r>
    </w:p>
    <w:p w:rsidR="00425722" w:rsidRDefault="00425722" w:rsidP="007F09CF">
      <w:pPr>
        <w:pStyle w:val="NoSpacing"/>
      </w:pPr>
    </w:p>
    <w:p w:rsidR="00E62A72" w:rsidRPr="00E62A72" w:rsidRDefault="00E62A72" w:rsidP="001867D2">
      <w:pPr>
        <w:pStyle w:val="NoSpacing"/>
        <w:rPr>
          <w:u w:val="single"/>
        </w:rPr>
      </w:pPr>
      <w:r w:rsidRPr="00E62A72">
        <w:rPr>
          <w:u w:val="single"/>
        </w:rPr>
        <w:t>Property and Equipment Disposition</w:t>
      </w:r>
    </w:p>
    <w:p w:rsidR="00E62A72" w:rsidRDefault="00E62A72" w:rsidP="001867D2">
      <w:pPr>
        <w:pStyle w:val="NoSpacing"/>
      </w:pPr>
      <w:r>
        <w:t>Many federal sponsors require a property</w:t>
      </w:r>
      <w:r w:rsidR="00874885">
        <w:t>/equipment report to be filed and have specific disposition instructions if grant-funded equipment is no longer needed.  Please see the Office of Sponsored Programs</w:t>
      </w:r>
      <w:r w:rsidR="000D5987">
        <w:t xml:space="preserve"> and Foundation Relations</w:t>
      </w:r>
      <w:bookmarkStart w:id="0" w:name="_GoBack"/>
      <w:bookmarkEnd w:id="0"/>
      <w:r w:rsidR="00874885">
        <w:t xml:space="preserve"> for details.</w:t>
      </w:r>
    </w:p>
    <w:p w:rsidR="00E62A72" w:rsidRDefault="00E62A72" w:rsidP="007F09CF">
      <w:pPr>
        <w:pStyle w:val="NoSpacing"/>
      </w:pPr>
    </w:p>
    <w:p w:rsidR="00B301E3" w:rsidRPr="00B301E3" w:rsidRDefault="00B301E3" w:rsidP="001867D2">
      <w:pPr>
        <w:pStyle w:val="NoSpacing"/>
        <w:rPr>
          <w:u w:val="single"/>
        </w:rPr>
      </w:pPr>
      <w:proofErr w:type="spellStart"/>
      <w:r w:rsidRPr="00B301E3">
        <w:rPr>
          <w:u w:val="single"/>
        </w:rPr>
        <w:t>Subawards</w:t>
      </w:r>
      <w:proofErr w:type="spellEnd"/>
    </w:p>
    <w:p w:rsidR="00B301E3" w:rsidRDefault="00B301E3" w:rsidP="001867D2">
      <w:pPr>
        <w:pStyle w:val="NoSpacing"/>
      </w:pPr>
      <w:r>
        <w:t xml:space="preserve">The closeout date for a </w:t>
      </w:r>
      <w:proofErr w:type="spellStart"/>
      <w:r>
        <w:t>subaward</w:t>
      </w:r>
      <w:proofErr w:type="spellEnd"/>
      <w:r>
        <w:t xml:space="preserve"> is specified on the fully executed </w:t>
      </w:r>
      <w:proofErr w:type="spellStart"/>
      <w:r>
        <w:t>subaward</w:t>
      </w:r>
      <w:proofErr w:type="spellEnd"/>
      <w:r>
        <w:t xml:space="preserve"> agreement.  The PI/PD is responsible for ensuring that the </w:t>
      </w:r>
      <w:proofErr w:type="spellStart"/>
      <w:r>
        <w:t>subrecipient</w:t>
      </w:r>
      <w:proofErr w:type="spellEnd"/>
      <w:r>
        <w:t xml:space="preserve"> has completed </w:t>
      </w:r>
      <w:r w:rsidR="00F867CC">
        <w:t xml:space="preserve">the deliverables, including all reporting requirements. PI/PDs should remind </w:t>
      </w:r>
      <w:proofErr w:type="spellStart"/>
      <w:r w:rsidR="00F867CC">
        <w:t>subrecipients</w:t>
      </w:r>
      <w:proofErr w:type="spellEnd"/>
      <w:r w:rsidR="00F867CC">
        <w:t xml:space="preserve"> of upcoming</w:t>
      </w:r>
      <w:r w:rsidR="009E60F0">
        <w:t xml:space="preserve"> reporting</w:t>
      </w:r>
      <w:r w:rsidR="00F867CC">
        <w:t xml:space="preserve"> deadlines.</w:t>
      </w:r>
    </w:p>
    <w:p w:rsidR="00762FA5" w:rsidRDefault="00762FA5" w:rsidP="007F09CF">
      <w:pPr>
        <w:pStyle w:val="NoSpacing"/>
      </w:pPr>
    </w:p>
    <w:p w:rsidR="007C42D0" w:rsidRPr="001867D2" w:rsidRDefault="007C42D0" w:rsidP="001867D2">
      <w:pPr>
        <w:spacing w:after="0"/>
        <w:rPr>
          <w:rFonts w:ascii="Book Antiqua" w:hAnsi="Book Antiqua"/>
          <w:u w:val="single"/>
        </w:rPr>
      </w:pPr>
      <w:r w:rsidRPr="001867D2">
        <w:rPr>
          <w:rFonts w:ascii="Book Antiqua" w:hAnsi="Book Antiqua"/>
          <w:u w:val="single"/>
        </w:rPr>
        <w:t>Record Retention</w:t>
      </w:r>
    </w:p>
    <w:p w:rsidR="007C42D0" w:rsidRDefault="007C42D0" w:rsidP="0018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The P</w:t>
      </w:r>
      <w:r w:rsidR="00762FA5">
        <w:rPr>
          <w:rFonts w:ascii="Book Antiqua" w:hAnsi="Book Antiqua"/>
        </w:rPr>
        <w:t xml:space="preserve">I/PD </w:t>
      </w:r>
      <w:r>
        <w:rPr>
          <w:rFonts w:ascii="Book Antiqua" w:hAnsi="Book Antiqua"/>
        </w:rPr>
        <w:t>is responsible to retaining copies of all grant-related work for a period of at least three years following final closeout of the federal award</w:t>
      </w:r>
      <w:r w:rsidR="00583C70">
        <w:rPr>
          <w:rFonts w:ascii="Book Antiqua" w:hAnsi="Book Antiqua"/>
        </w:rPr>
        <w:t xml:space="preserve"> (i.e., the submission of the </w:t>
      </w:r>
      <w:r w:rsidR="00FF3E23">
        <w:rPr>
          <w:rFonts w:ascii="Book Antiqua" w:hAnsi="Book Antiqua"/>
        </w:rPr>
        <w:t xml:space="preserve">Final </w:t>
      </w:r>
      <w:r w:rsidR="00583C70">
        <w:rPr>
          <w:rFonts w:ascii="Book Antiqua" w:hAnsi="Book Antiqua"/>
        </w:rPr>
        <w:t>Financial Report (FFR).</w:t>
      </w:r>
      <w:r w:rsidR="002475ED">
        <w:rPr>
          <w:rFonts w:ascii="Book Antiqua" w:hAnsi="Book Antiqua"/>
        </w:rPr>
        <w:t xml:space="preserve"> These documents should be readily available for auditors.  </w:t>
      </w:r>
    </w:p>
    <w:p w:rsidR="005F2EAC" w:rsidRDefault="005F2EAC" w:rsidP="001867D2">
      <w:pPr>
        <w:spacing w:after="0"/>
        <w:rPr>
          <w:rFonts w:ascii="Book Antiqua" w:hAnsi="Book Antiqua"/>
        </w:rPr>
      </w:pPr>
    </w:p>
    <w:p w:rsidR="005F2EAC" w:rsidRPr="001867D2" w:rsidRDefault="005F2EAC" w:rsidP="001867D2">
      <w:pPr>
        <w:spacing w:after="0"/>
        <w:rPr>
          <w:rFonts w:ascii="Book Antiqua" w:hAnsi="Book Antiqua"/>
          <w:u w:val="single"/>
        </w:rPr>
      </w:pPr>
      <w:r w:rsidRPr="001867D2">
        <w:rPr>
          <w:rFonts w:ascii="Book Antiqua" w:hAnsi="Book Antiqua"/>
          <w:u w:val="single"/>
        </w:rPr>
        <w:t>Please note the following on expenditures:</w:t>
      </w:r>
    </w:p>
    <w:p w:rsidR="005F2EAC" w:rsidRPr="001867D2" w:rsidRDefault="005F2EAC" w:rsidP="005F2EAC">
      <w:pPr>
        <w:pStyle w:val="NoSpacing"/>
        <w:numPr>
          <w:ilvl w:val="0"/>
          <w:numId w:val="17"/>
        </w:numPr>
      </w:pPr>
      <w:r w:rsidRPr="001867D2">
        <w:t>Any item costing more than $3,000 will be capitalized as “equipment</w:t>
      </w:r>
      <w:r w:rsidR="0037732C">
        <w:t>.</w:t>
      </w:r>
      <w:r w:rsidRPr="001867D2">
        <w:t>”</w:t>
      </w:r>
    </w:p>
    <w:p w:rsidR="005F2EAC" w:rsidRPr="001867D2" w:rsidRDefault="005F2EAC" w:rsidP="005F2EAC">
      <w:pPr>
        <w:pStyle w:val="NoSpacing"/>
        <w:numPr>
          <w:ilvl w:val="0"/>
          <w:numId w:val="17"/>
        </w:numPr>
      </w:pPr>
      <w:r w:rsidRPr="001867D2">
        <w:t xml:space="preserve">Equipment and supplies purchased in the 30 days </w:t>
      </w:r>
      <w:r w:rsidR="0037732C">
        <w:t xml:space="preserve">prior to end date of the award </w:t>
      </w:r>
      <w:r w:rsidRPr="001867D2">
        <w:t>are unallowable</w:t>
      </w:r>
      <w:r w:rsidR="0037732C">
        <w:t xml:space="preserve">.  If </w:t>
      </w:r>
      <w:r w:rsidRPr="001867D2">
        <w:t xml:space="preserve">project-specific circumstances warrant </w:t>
      </w:r>
      <w:r w:rsidR="0037732C">
        <w:t xml:space="preserve">a </w:t>
      </w:r>
      <w:r w:rsidRPr="001867D2">
        <w:t>late purchase</w:t>
      </w:r>
      <w:r w:rsidR="0037732C">
        <w:t>, approval must be obtained from the Business Office.</w:t>
      </w:r>
    </w:p>
    <w:p w:rsidR="005F2EAC" w:rsidRPr="001867D2" w:rsidRDefault="005F2EAC" w:rsidP="005F2EAC">
      <w:pPr>
        <w:pStyle w:val="NoSpacing"/>
        <w:numPr>
          <w:ilvl w:val="0"/>
          <w:numId w:val="17"/>
        </w:numPr>
      </w:pPr>
      <w:r w:rsidRPr="001867D2">
        <w:t>For expenses not previously approved by the sponsor, the Business Office will accept email approval from the sponsor</w:t>
      </w:r>
      <w:r w:rsidR="0037732C">
        <w:t>.</w:t>
      </w:r>
    </w:p>
    <w:p w:rsidR="005F2EAC" w:rsidRPr="001867D2" w:rsidRDefault="005F2EAC" w:rsidP="001867D2">
      <w:pPr>
        <w:spacing w:after="0"/>
        <w:rPr>
          <w:rFonts w:ascii="Book Antiqua" w:hAnsi="Book Antiqua"/>
          <w:u w:val="single"/>
        </w:rPr>
      </w:pPr>
    </w:p>
    <w:p w:rsidR="005F2EAC" w:rsidRDefault="005F2EAC" w:rsidP="001867D2">
      <w:pPr>
        <w:spacing w:after="0"/>
        <w:rPr>
          <w:rFonts w:ascii="Book Antiqua" w:hAnsi="Book Antiqua"/>
        </w:rPr>
      </w:pPr>
    </w:p>
    <w:p w:rsidR="0089054D" w:rsidRDefault="0089054D" w:rsidP="0089054D">
      <w:pPr>
        <w:pStyle w:val="NoSpacing"/>
      </w:pPr>
    </w:p>
    <w:p w:rsidR="002475ED" w:rsidRPr="002475ED" w:rsidRDefault="002475ED" w:rsidP="002729D7">
      <w:pPr>
        <w:spacing w:after="0"/>
        <w:rPr>
          <w:rFonts w:ascii="Book Antiqua" w:hAnsi="Book Antiqua"/>
        </w:rPr>
      </w:pPr>
    </w:p>
    <w:sectPr w:rsidR="002475ED" w:rsidRPr="002475ED" w:rsidSect="00762FA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B65"/>
    <w:multiLevelType w:val="multilevel"/>
    <w:tmpl w:val="361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8547B"/>
    <w:multiLevelType w:val="hybridMultilevel"/>
    <w:tmpl w:val="80D0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0939"/>
    <w:multiLevelType w:val="hybridMultilevel"/>
    <w:tmpl w:val="E472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021"/>
    <w:multiLevelType w:val="hybridMultilevel"/>
    <w:tmpl w:val="6EFE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210A"/>
    <w:multiLevelType w:val="hybridMultilevel"/>
    <w:tmpl w:val="784A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456"/>
    <w:multiLevelType w:val="hybridMultilevel"/>
    <w:tmpl w:val="FB2ED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6F11"/>
    <w:multiLevelType w:val="hybridMultilevel"/>
    <w:tmpl w:val="50ECD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20C83"/>
    <w:multiLevelType w:val="hybridMultilevel"/>
    <w:tmpl w:val="7A2C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C761B"/>
    <w:multiLevelType w:val="hybridMultilevel"/>
    <w:tmpl w:val="92C2B68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1EB7007"/>
    <w:multiLevelType w:val="hybridMultilevel"/>
    <w:tmpl w:val="5F22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47A5"/>
    <w:multiLevelType w:val="hybridMultilevel"/>
    <w:tmpl w:val="001E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4095"/>
    <w:multiLevelType w:val="hybridMultilevel"/>
    <w:tmpl w:val="A48E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45F64"/>
    <w:multiLevelType w:val="hybridMultilevel"/>
    <w:tmpl w:val="6A48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10F72"/>
    <w:multiLevelType w:val="hybridMultilevel"/>
    <w:tmpl w:val="8F24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363EF"/>
    <w:multiLevelType w:val="hybridMultilevel"/>
    <w:tmpl w:val="8560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F56E7"/>
    <w:multiLevelType w:val="hybridMultilevel"/>
    <w:tmpl w:val="6C8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2CC"/>
    <w:multiLevelType w:val="hybridMultilevel"/>
    <w:tmpl w:val="221C1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CB6025"/>
    <w:multiLevelType w:val="hybridMultilevel"/>
    <w:tmpl w:val="8F24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03DD8"/>
    <w:multiLevelType w:val="hybridMultilevel"/>
    <w:tmpl w:val="8E700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D761D"/>
    <w:multiLevelType w:val="hybridMultilevel"/>
    <w:tmpl w:val="AD5E6D84"/>
    <w:lvl w:ilvl="0" w:tplc="DC985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B6441"/>
    <w:multiLevelType w:val="hybridMultilevel"/>
    <w:tmpl w:val="C5200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6831F1"/>
    <w:multiLevelType w:val="hybridMultilevel"/>
    <w:tmpl w:val="2A68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4450D"/>
    <w:multiLevelType w:val="hybridMultilevel"/>
    <w:tmpl w:val="0F347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F3A3C"/>
    <w:multiLevelType w:val="hybridMultilevel"/>
    <w:tmpl w:val="959AC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B83A04"/>
    <w:multiLevelType w:val="hybridMultilevel"/>
    <w:tmpl w:val="025A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0"/>
  </w:num>
  <w:num w:numId="5">
    <w:abstractNumId w:val="1"/>
  </w:num>
  <w:num w:numId="6">
    <w:abstractNumId w:val="12"/>
  </w:num>
  <w:num w:numId="7">
    <w:abstractNumId w:val="0"/>
  </w:num>
  <w:num w:numId="8">
    <w:abstractNumId w:val="22"/>
  </w:num>
  <w:num w:numId="9">
    <w:abstractNumId w:val="6"/>
  </w:num>
  <w:num w:numId="10">
    <w:abstractNumId w:val="5"/>
  </w:num>
  <w:num w:numId="11">
    <w:abstractNumId w:val="15"/>
  </w:num>
  <w:num w:numId="12">
    <w:abstractNumId w:val="19"/>
  </w:num>
  <w:num w:numId="13">
    <w:abstractNumId w:val="7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9"/>
  </w:num>
  <w:num w:numId="19">
    <w:abstractNumId w:val="17"/>
  </w:num>
  <w:num w:numId="20">
    <w:abstractNumId w:val="13"/>
  </w:num>
  <w:num w:numId="21">
    <w:abstractNumId w:val="3"/>
  </w:num>
  <w:num w:numId="22">
    <w:abstractNumId w:val="24"/>
  </w:num>
  <w:num w:numId="23">
    <w:abstractNumId w:val="21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NDY3sTQ0MzA0MzZT0lEKTi0uzszPAykwqwUA6yIv4iwAAAA="/>
  </w:docVars>
  <w:rsids>
    <w:rsidRoot w:val="004D0E7B"/>
    <w:rsid w:val="00004C70"/>
    <w:rsid w:val="00052AB1"/>
    <w:rsid w:val="0007102F"/>
    <w:rsid w:val="00076A9C"/>
    <w:rsid w:val="000C3051"/>
    <w:rsid w:val="000D24B4"/>
    <w:rsid w:val="000D5987"/>
    <w:rsid w:val="00120CB4"/>
    <w:rsid w:val="0014415C"/>
    <w:rsid w:val="00152C24"/>
    <w:rsid w:val="001661E6"/>
    <w:rsid w:val="00182262"/>
    <w:rsid w:val="001867D2"/>
    <w:rsid w:val="00195123"/>
    <w:rsid w:val="001A2CF8"/>
    <w:rsid w:val="001B66EE"/>
    <w:rsid w:val="001D3013"/>
    <w:rsid w:val="002475ED"/>
    <w:rsid w:val="00247A24"/>
    <w:rsid w:val="002573B3"/>
    <w:rsid w:val="00270734"/>
    <w:rsid w:val="002729D7"/>
    <w:rsid w:val="002A4184"/>
    <w:rsid w:val="002B115D"/>
    <w:rsid w:val="0033375F"/>
    <w:rsid w:val="003537B2"/>
    <w:rsid w:val="00354024"/>
    <w:rsid w:val="003556AD"/>
    <w:rsid w:val="0037732C"/>
    <w:rsid w:val="003806EC"/>
    <w:rsid w:val="00383EA0"/>
    <w:rsid w:val="003E7740"/>
    <w:rsid w:val="0040028B"/>
    <w:rsid w:val="00407943"/>
    <w:rsid w:val="00425722"/>
    <w:rsid w:val="0043760E"/>
    <w:rsid w:val="00456CA1"/>
    <w:rsid w:val="00465D51"/>
    <w:rsid w:val="004758AF"/>
    <w:rsid w:val="0047712C"/>
    <w:rsid w:val="004935DC"/>
    <w:rsid w:val="004D0E7B"/>
    <w:rsid w:val="004D3FB8"/>
    <w:rsid w:val="004D5FEE"/>
    <w:rsid w:val="004D79D0"/>
    <w:rsid w:val="004E180B"/>
    <w:rsid w:val="004F2EBE"/>
    <w:rsid w:val="005342F1"/>
    <w:rsid w:val="005424B6"/>
    <w:rsid w:val="005673E4"/>
    <w:rsid w:val="00571FBC"/>
    <w:rsid w:val="00583C70"/>
    <w:rsid w:val="00590A49"/>
    <w:rsid w:val="005A26F0"/>
    <w:rsid w:val="005B54A1"/>
    <w:rsid w:val="005D325D"/>
    <w:rsid w:val="005F2EAC"/>
    <w:rsid w:val="005F3D7B"/>
    <w:rsid w:val="00610D43"/>
    <w:rsid w:val="00691694"/>
    <w:rsid w:val="006A2E7C"/>
    <w:rsid w:val="006B47BF"/>
    <w:rsid w:val="006F5580"/>
    <w:rsid w:val="00700F58"/>
    <w:rsid w:val="007228BB"/>
    <w:rsid w:val="00762FA5"/>
    <w:rsid w:val="00774073"/>
    <w:rsid w:val="007A39E2"/>
    <w:rsid w:val="007B2799"/>
    <w:rsid w:val="007C42D0"/>
    <w:rsid w:val="007D2498"/>
    <w:rsid w:val="007E02DB"/>
    <w:rsid w:val="007F0989"/>
    <w:rsid w:val="007F09CF"/>
    <w:rsid w:val="007F556C"/>
    <w:rsid w:val="007F7F78"/>
    <w:rsid w:val="008139EC"/>
    <w:rsid w:val="008254C9"/>
    <w:rsid w:val="008454E7"/>
    <w:rsid w:val="00847B5A"/>
    <w:rsid w:val="00851392"/>
    <w:rsid w:val="00865143"/>
    <w:rsid w:val="00874885"/>
    <w:rsid w:val="00887CC7"/>
    <w:rsid w:val="00887F3F"/>
    <w:rsid w:val="0089054D"/>
    <w:rsid w:val="00891971"/>
    <w:rsid w:val="00894C27"/>
    <w:rsid w:val="008F0612"/>
    <w:rsid w:val="008F6B77"/>
    <w:rsid w:val="00916023"/>
    <w:rsid w:val="009166CA"/>
    <w:rsid w:val="009557C5"/>
    <w:rsid w:val="00962834"/>
    <w:rsid w:val="009A47DD"/>
    <w:rsid w:val="009A6E14"/>
    <w:rsid w:val="009B7FA4"/>
    <w:rsid w:val="009D6BE3"/>
    <w:rsid w:val="009E21A7"/>
    <w:rsid w:val="009E2FA0"/>
    <w:rsid w:val="009E60F0"/>
    <w:rsid w:val="00A07720"/>
    <w:rsid w:val="00A21784"/>
    <w:rsid w:val="00A51BBC"/>
    <w:rsid w:val="00A547F2"/>
    <w:rsid w:val="00A5559B"/>
    <w:rsid w:val="00A77177"/>
    <w:rsid w:val="00AB6724"/>
    <w:rsid w:val="00B06774"/>
    <w:rsid w:val="00B12DBA"/>
    <w:rsid w:val="00B14242"/>
    <w:rsid w:val="00B301E3"/>
    <w:rsid w:val="00B434D5"/>
    <w:rsid w:val="00B51824"/>
    <w:rsid w:val="00BC3A55"/>
    <w:rsid w:val="00BD2494"/>
    <w:rsid w:val="00C10C71"/>
    <w:rsid w:val="00C17F7A"/>
    <w:rsid w:val="00C31437"/>
    <w:rsid w:val="00C63D88"/>
    <w:rsid w:val="00C64A10"/>
    <w:rsid w:val="00C67E6D"/>
    <w:rsid w:val="00C703EB"/>
    <w:rsid w:val="00C81256"/>
    <w:rsid w:val="00C8646C"/>
    <w:rsid w:val="00D358D8"/>
    <w:rsid w:val="00D53C2B"/>
    <w:rsid w:val="00D95E5A"/>
    <w:rsid w:val="00DA0596"/>
    <w:rsid w:val="00DC65D1"/>
    <w:rsid w:val="00DF349D"/>
    <w:rsid w:val="00DF4D4C"/>
    <w:rsid w:val="00E10CC2"/>
    <w:rsid w:val="00E62A72"/>
    <w:rsid w:val="00E75FBC"/>
    <w:rsid w:val="00EE413B"/>
    <w:rsid w:val="00EE7552"/>
    <w:rsid w:val="00EF7FC6"/>
    <w:rsid w:val="00F54540"/>
    <w:rsid w:val="00F73DB4"/>
    <w:rsid w:val="00F773F6"/>
    <w:rsid w:val="00F867CC"/>
    <w:rsid w:val="00F90F26"/>
    <w:rsid w:val="00F9750A"/>
    <w:rsid w:val="00FA35BF"/>
    <w:rsid w:val="00FE1179"/>
    <w:rsid w:val="00FF3E23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CB0D"/>
  <w15:chartTrackingRefBased/>
  <w15:docId w15:val="{7C3BEADF-BB33-4F31-866D-13B93706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06EC"/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6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806EC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80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6EC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06E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06E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806EC"/>
    <w:pPr>
      <w:spacing w:after="0" w:line="240" w:lineRule="auto"/>
    </w:pPr>
    <w:rPr>
      <w:rFonts w:ascii="Calibri" w:eastAsia="Calibri" w:hAnsi="Calibri" w:cs="Calibri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6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06EC"/>
    <w:rPr>
      <w:b/>
      <w:bCs/>
    </w:rPr>
  </w:style>
  <w:style w:type="paragraph" w:styleId="NormalWeb">
    <w:name w:val="Normal (Web)"/>
    <w:basedOn w:val="Normal"/>
    <w:uiPriority w:val="99"/>
    <w:unhideWhenUsed/>
    <w:rsid w:val="0038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teindent1">
    <w:name w:val="rteindent1"/>
    <w:basedOn w:val="Normal"/>
    <w:rsid w:val="0038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06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BF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3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6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FEE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fp">
    <w:name w:val="fp"/>
    <w:basedOn w:val="Normal"/>
    <w:rsid w:val="004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556C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ntstyle01">
    <w:name w:val="fontstyle01"/>
    <w:basedOn w:val="DefaultParagraphFont"/>
    <w:rsid w:val="00571FBC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5673E4"/>
    <w:pPr>
      <w:spacing w:after="0" w:line="240" w:lineRule="auto"/>
    </w:pPr>
    <w:rPr>
      <w:rFonts w:ascii="Book Antiqua" w:eastAsia="Calibri" w:hAnsi="Book Antiqua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F0C6-86AD-4C35-B599-459098A8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Clayton, Nicole A</cp:lastModifiedBy>
  <cp:revision>2</cp:revision>
  <dcterms:created xsi:type="dcterms:W3CDTF">2022-09-30T16:04:00Z</dcterms:created>
  <dcterms:modified xsi:type="dcterms:W3CDTF">2022-09-30T16:04:00Z</dcterms:modified>
</cp:coreProperties>
</file>