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5D" w:rsidRPr="005D325D" w:rsidRDefault="005F684B" w:rsidP="005D325D">
      <w:pPr>
        <w:spacing w:after="0" w:line="240" w:lineRule="auto"/>
        <w:jc w:val="center"/>
        <w:rPr>
          <w:rFonts w:ascii="Book Antiqua" w:hAnsi="Book Antiqua"/>
          <w:b/>
          <w:color w:val="auto"/>
          <w:u w:val="single"/>
        </w:rPr>
      </w:pPr>
      <w:r>
        <w:rPr>
          <w:b/>
          <w:noProof/>
          <w:szCs w:val="24"/>
        </w:rPr>
        <w:drawing>
          <wp:inline distT="0" distB="0" distL="0" distR="0" wp14:anchorId="07D26337" wp14:editId="2D34E2D7">
            <wp:extent cx="1718734" cy="113388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734" cy="1133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325D" w:rsidRPr="002729D7" w:rsidRDefault="005D325D" w:rsidP="005D325D">
      <w:pPr>
        <w:pStyle w:val="Heading1"/>
        <w:spacing w:before="0"/>
        <w:ind w:right="72"/>
        <w:jc w:val="center"/>
        <w:rPr>
          <w:rFonts w:ascii="Book Antiqua" w:hAnsi="Book Antiqua"/>
          <w:b/>
          <w:color w:val="auto"/>
          <w:sz w:val="22"/>
        </w:rPr>
      </w:pPr>
    </w:p>
    <w:p w:rsidR="005D325D" w:rsidRPr="002729D7" w:rsidRDefault="005D325D" w:rsidP="005D325D">
      <w:pPr>
        <w:pStyle w:val="Heading1"/>
        <w:spacing w:before="0"/>
        <w:ind w:right="72"/>
        <w:jc w:val="center"/>
        <w:rPr>
          <w:rFonts w:ascii="Book Antiqua" w:hAnsi="Book Antiqua"/>
          <w:b/>
          <w:color w:val="auto"/>
          <w:sz w:val="22"/>
        </w:rPr>
      </w:pPr>
      <w:r w:rsidRPr="002729D7">
        <w:rPr>
          <w:rFonts w:ascii="Book Antiqua" w:hAnsi="Book Antiqua"/>
          <w:b/>
          <w:color w:val="auto"/>
          <w:sz w:val="22"/>
        </w:rPr>
        <w:t>Office of Sponsored Programs</w:t>
      </w:r>
      <w:r w:rsidR="005F684B">
        <w:rPr>
          <w:rFonts w:ascii="Book Antiqua" w:hAnsi="Book Antiqua"/>
          <w:b/>
          <w:color w:val="auto"/>
          <w:sz w:val="22"/>
        </w:rPr>
        <w:t xml:space="preserve"> and Foundation Relations</w:t>
      </w:r>
    </w:p>
    <w:p w:rsidR="005D325D" w:rsidRPr="002729D7" w:rsidRDefault="004D5FEE" w:rsidP="005D325D">
      <w:pPr>
        <w:pStyle w:val="Heading1"/>
        <w:spacing w:before="0"/>
        <w:ind w:right="72"/>
        <w:jc w:val="center"/>
        <w:rPr>
          <w:rFonts w:ascii="Book Antiqua" w:hAnsi="Book Antiqua"/>
          <w:b/>
          <w:color w:val="auto"/>
          <w:sz w:val="22"/>
        </w:rPr>
      </w:pPr>
      <w:r w:rsidRPr="002729D7">
        <w:rPr>
          <w:rFonts w:ascii="Book Antiqua" w:hAnsi="Book Antiqua"/>
          <w:b/>
          <w:color w:val="auto"/>
          <w:sz w:val="22"/>
        </w:rPr>
        <w:t>SUBRECIPIENT V. CONTRACTOR CHECKLIST</w:t>
      </w:r>
    </w:p>
    <w:p w:rsidR="00AD3974" w:rsidRPr="00EF5C0C" w:rsidRDefault="00847B5A" w:rsidP="00EF5C0C">
      <w:pPr>
        <w:pStyle w:val="Heading1"/>
        <w:spacing w:before="0"/>
        <w:ind w:right="72"/>
        <w:jc w:val="center"/>
        <w:rPr>
          <w:rFonts w:ascii="Book Antiqua" w:hAnsi="Book Antiqua"/>
          <w:i/>
          <w:color w:val="auto"/>
        </w:rPr>
      </w:pPr>
      <w:r w:rsidRPr="000A770D">
        <w:rPr>
          <w:rFonts w:ascii="Book Antiqua" w:eastAsia="Calibri" w:hAnsi="Book Antiqua" w:cs="Calibri"/>
          <w:i/>
          <w:color w:val="000000"/>
          <w:sz w:val="22"/>
          <w:szCs w:val="22"/>
        </w:rPr>
        <w:t>Created</w:t>
      </w:r>
      <w:r w:rsidR="00AD3974" w:rsidRPr="000A770D">
        <w:rPr>
          <w:rFonts w:ascii="Book Antiqua" w:eastAsia="Calibri" w:hAnsi="Book Antiqua" w:cs="Calibri"/>
          <w:i/>
          <w:color w:val="000000"/>
          <w:sz w:val="22"/>
          <w:szCs w:val="22"/>
        </w:rPr>
        <w:t>:</w:t>
      </w:r>
      <w:r w:rsidRPr="000A770D">
        <w:rPr>
          <w:rFonts w:ascii="Book Antiqua" w:eastAsia="Calibri" w:hAnsi="Book Antiqua" w:cs="Calibri"/>
          <w:i/>
          <w:color w:val="000000"/>
          <w:sz w:val="22"/>
          <w:szCs w:val="22"/>
        </w:rPr>
        <w:t xml:space="preserve"> March </w:t>
      </w:r>
      <w:r w:rsidR="004D5FEE" w:rsidRPr="000A770D">
        <w:rPr>
          <w:rFonts w:ascii="Book Antiqua" w:eastAsia="Calibri" w:hAnsi="Book Antiqua" w:cs="Calibri"/>
          <w:i/>
          <w:color w:val="000000"/>
          <w:sz w:val="22"/>
          <w:szCs w:val="22"/>
        </w:rPr>
        <w:t>2019</w:t>
      </w:r>
      <w:r w:rsidR="00AD3974" w:rsidRPr="000A770D">
        <w:rPr>
          <w:rFonts w:ascii="Book Antiqua" w:eastAsia="Calibri" w:hAnsi="Book Antiqua" w:cs="Calibri"/>
          <w:i/>
          <w:color w:val="000000"/>
          <w:sz w:val="22"/>
          <w:szCs w:val="22"/>
        </w:rPr>
        <w:t>;</w:t>
      </w:r>
      <w:r w:rsidR="00AD3974" w:rsidRPr="00EF5C0C">
        <w:rPr>
          <w:rFonts w:ascii="Book Antiqua" w:hAnsi="Book Antiqua"/>
          <w:i/>
          <w:color w:val="auto"/>
          <w:szCs w:val="22"/>
        </w:rPr>
        <w:t xml:space="preserve"> </w:t>
      </w:r>
      <w:r w:rsidR="00AD3974" w:rsidRPr="00EF5C0C">
        <w:rPr>
          <w:rFonts w:ascii="Book Antiqua" w:hAnsi="Book Antiqua"/>
          <w:i/>
          <w:color w:val="auto"/>
          <w:sz w:val="22"/>
          <w:szCs w:val="22"/>
        </w:rPr>
        <w:t>Last reviewed: September 2021</w:t>
      </w:r>
      <w:r w:rsidR="00EA0B47">
        <w:rPr>
          <w:rFonts w:ascii="Book Antiqua" w:hAnsi="Book Antiqua"/>
          <w:i/>
          <w:color w:val="auto"/>
          <w:sz w:val="22"/>
          <w:szCs w:val="22"/>
        </w:rPr>
        <w:t xml:space="preserve">; </w:t>
      </w:r>
    </w:p>
    <w:p w:rsidR="00AD3974" w:rsidRPr="00AD3974" w:rsidRDefault="00AD3974" w:rsidP="00AD3974">
      <w:pPr>
        <w:pStyle w:val="NoSpacing"/>
        <w:jc w:val="center"/>
        <w:rPr>
          <w:rFonts w:ascii="Book Antiqua" w:hAnsi="Book Antiqua"/>
          <w:i/>
        </w:rPr>
      </w:pPr>
      <w:r w:rsidRPr="00AD3974">
        <w:rPr>
          <w:rFonts w:ascii="Book Antiqua" w:hAnsi="Book Antiqua"/>
          <w:i/>
        </w:rPr>
        <w:t>Next review: Fall 202</w:t>
      </w:r>
      <w:r w:rsidR="00F95A6C">
        <w:rPr>
          <w:rFonts w:ascii="Book Antiqua" w:hAnsi="Book Antiqua"/>
          <w:i/>
        </w:rPr>
        <w:t>3</w:t>
      </w:r>
    </w:p>
    <w:p w:rsidR="002729D7" w:rsidRDefault="002729D7" w:rsidP="002729D7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PURPOSE</w:t>
      </w:r>
    </w:p>
    <w:p w:rsidR="002729D7" w:rsidRDefault="002729D7" w:rsidP="002729D7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To document the determination of the relationship between St. John Fishe</w:t>
      </w:r>
      <w:r w:rsidR="00BC3A55">
        <w:rPr>
          <w:rFonts w:ascii="Book Antiqua" w:hAnsi="Book Antiqua"/>
        </w:rPr>
        <w:t xml:space="preserve">r </w:t>
      </w:r>
      <w:r w:rsidR="005F684B">
        <w:rPr>
          <w:rFonts w:ascii="Book Antiqua" w:hAnsi="Book Antiqua"/>
        </w:rPr>
        <w:t>University</w:t>
      </w:r>
      <w:r w:rsidR="00BC3A55">
        <w:rPr>
          <w:rFonts w:ascii="Book Antiqua" w:hAnsi="Book Antiqua"/>
        </w:rPr>
        <w:t xml:space="preserve"> and an outside entity</w:t>
      </w:r>
      <w:r w:rsidR="00AD3974">
        <w:rPr>
          <w:rFonts w:ascii="Book Antiqua" w:hAnsi="Book Antiqua"/>
        </w:rPr>
        <w:t xml:space="preserve">.  </w:t>
      </w:r>
      <w:r w:rsidR="00AD3974" w:rsidRPr="000A770D">
        <w:rPr>
          <w:rFonts w:ascii="Book Antiqua" w:hAnsi="Book Antiqua"/>
          <w:i/>
          <w:u w:val="single"/>
        </w:rPr>
        <w:t xml:space="preserve">This form is to be completed </w:t>
      </w:r>
      <w:r w:rsidR="00BC3A55" w:rsidRPr="000A770D">
        <w:rPr>
          <w:rFonts w:ascii="Book Antiqua" w:hAnsi="Book Antiqua"/>
          <w:i/>
          <w:u w:val="single"/>
        </w:rPr>
        <w:t xml:space="preserve">only if </w:t>
      </w:r>
      <w:r w:rsidR="008139EC" w:rsidRPr="000A770D">
        <w:rPr>
          <w:rFonts w:ascii="Book Antiqua" w:hAnsi="Book Antiqua"/>
          <w:i/>
          <w:u w:val="single"/>
        </w:rPr>
        <w:t xml:space="preserve">the </w:t>
      </w:r>
      <w:r w:rsidR="00BC3A55" w:rsidRPr="000A770D">
        <w:rPr>
          <w:rFonts w:ascii="Book Antiqua" w:hAnsi="Book Antiqua"/>
          <w:i/>
          <w:u w:val="single"/>
        </w:rPr>
        <w:t xml:space="preserve">relationship </w:t>
      </w:r>
      <w:r w:rsidR="008139EC" w:rsidRPr="000A770D">
        <w:rPr>
          <w:rFonts w:ascii="Book Antiqua" w:hAnsi="Book Antiqua"/>
          <w:i/>
          <w:u w:val="single"/>
        </w:rPr>
        <w:t xml:space="preserve">between the two entities </w:t>
      </w:r>
      <w:r w:rsidR="00BC3A55" w:rsidRPr="000A770D">
        <w:rPr>
          <w:rFonts w:ascii="Book Antiqua" w:hAnsi="Book Antiqua"/>
          <w:i/>
          <w:u w:val="single"/>
        </w:rPr>
        <w:t>is unclear.</w:t>
      </w:r>
    </w:p>
    <w:p w:rsidR="002729D7" w:rsidRPr="002729D7" w:rsidRDefault="002729D7" w:rsidP="002729D7">
      <w:pPr>
        <w:spacing w:after="0"/>
        <w:rPr>
          <w:rFonts w:ascii="Book Antiqua" w:hAnsi="Book Antiqua"/>
        </w:rPr>
      </w:pPr>
    </w:p>
    <w:p w:rsidR="002729D7" w:rsidRDefault="009B7FA4" w:rsidP="002729D7">
      <w:pPr>
        <w:spacing w:after="0"/>
        <w:rPr>
          <w:rFonts w:ascii="Book Antiqua" w:hAnsi="Book Antiqua"/>
          <w:b/>
        </w:rPr>
      </w:pPr>
      <w:r w:rsidRPr="009B7FA4">
        <w:rPr>
          <w:rFonts w:ascii="Book Antiqua" w:hAnsi="Book Antiqua"/>
          <w:b/>
        </w:rPr>
        <w:t>DEFINITIONS FROM UNI</w:t>
      </w:r>
      <w:r w:rsidR="002729D7">
        <w:rPr>
          <w:rFonts w:ascii="Book Antiqua" w:hAnsi="Book Antiqua"/>
          <w:b/>
        </w:rPr>
        <w:t>FORM GUIDANCE (2 CFR, PART 200)</w:t>
      </w:r>
    </w:p>
    <w:p w:rsidR="004D5FEE" w:rsidRPr="002729D7" w:rsidRDefault="004D5FEE" w:rsidP="002729D7">
      <w:pPr>
        <w:spacing w:after="0"/>
        <w:rPr>
          <w:rFonts w:ascii="Book Antiqua" w:hAnsi="Book Antiqua"/>
          <w:b/>
        </w:rPr>
      </w:pPr>
      <w:r w:rsidRPr="004D5FEE">
        <w:rPr>
          <w:rFonts w:ascii="Book Antiqua" w:hAnsi="Book Antiqua"/>
          <w:i/>
        </w:rPr>
        <w:t>§200.93</w:t>
      </w:r>
      <w:r w:rsidRPr="004D5FEE">
        <w:rPr>
          <w:rFonts w:ascii="Book Antiqua" w:hAnsi="Book Antiqua"/>
        </w:rPr>
        <w:t xml:space="preserve"> </w:t>
      </w:r>
      <w:r w:rsidRPr="004D5FEE">
        <w:rPr>
          <w:rFonts w:ascii="Book Antiqua" w:hAnsi="Book Antiqua"/>
          <w:b/>
        </w:rPr>
        <w:t>Subrecipient</w:t>
      </w:r>
      <w:r w:rsidR="00BC3A55">
        <w:rPr>
          <w:rFonts w:ascii="Book Antiqua" w:hAnsi="Book Antiqua"/>
        </w:rPr>
        <w:t xml:space="preserve"> means a non-f</w:t>
      </w:r>
      <w:r w:rsidRPr="004D5FEE">
        <w:rPr>
          <w:rFonts w:ascii="Book Antiqua" w:hAnsi="Book Antiqua"/>
        </w:rPr>
        <w:t>ederal entity that receives a subaward from a pass-through entity to carry out part of a Federal program</w:t>
      </w:r>
      <w:r w:rsidRPr="004D5FEE">
        <w:rPr>
          <w:rFonts w:ascii="Book Antiqua" w:hAnsi="Book Antiqua" w:cs="Arial"/>
          <w:shd w:val="clear" w:color="auto" w:fill="FFFFFF"/>
        </w:rPr>
        <w:t xml:space="preserve">, but does not include an individual that is a beneficiary of such program. A subrecipient may also be a recipient of </w:t>
      </w:r>
      <w:r w:rsidR="00BC3A55">
        <w:rPr>
          <w:rFonts w:ascii="Book Antiqua" w:hAnsi="Book Antiqua" w:cs="Arial"/>
          <w:shd w:val="clear" w:color="auto" w:fill="FFFFFF"/>
        </w:rPr>
        <w:t>other f</w:t>
      </w:r>
      <w:r w:rsidRPr="004D5FEE">
        <w:rPr>
          <w:rFonts w:ascii="Book Antiqua" w:hAnsi="Book Antiqua" w:cs="Arial"/>
          <w:shd w:val="clear" w:color="auto" w:fill="FFFFFF"/>
        </w:rPr>
        <w:t>ederal awards directly from a Federal awarding agency.</w:t>
      </w:r>
    </w:p>
    <w:p w:rsidR="004D5FEE" w:rsidRPr="009B7FA4" w:rsidRDefault="004D5FEE" w:rsidP="004D5FEE">
      <w:pPr>
        <w:pStyle w:val="NormalWeb"/>
        <w:shd w:val="clear" w:color="auto" w:fill="FFFFFF"/>
        <w:rPr>
          <w:rFonts w:ascii="Book Antiqua" w:hAnsi="Book Antiqua" w:cs="Arial"/>
          <w:color w:val="000000"/>
          <w:sz w:val="22"/>
          <w:szCs w:val="22"/>
        </w:rPr>
      </w:pPr>
      <w:r w:rsidRPr="009B7FA4">
        <w:rPr>
          <w:rFonts w:ascii="Book Antiqua" w:hAnsi="Book Antiqua" w:cs="Arial"/>
          <w:i/>
          <w:color w:val="000000"/>
          <w:sz w:val="22"/>
          <w:szCs w:val="22"/>
        </w:rPr>
        <w:t>§200.22</w:t>
      </w:r>
      <w:r w:rsidRPr="009B7FA4">
        <w:rPr>
          <w:rFonts w:ascii="Book Antiqua" w:hAnsi="Book Antiqua" w:cs="Arial"/>
          <w:color w:val="000000"/>
          <w:sz w:val="22"/>
          <w:szCs w:val="22"/>
        </w:rPr>
        <w:t> </w:t>
      </w:r>
      <w:r w:rsidRPr="009B7FA4">
        <w:rPr>
          <w:rFonts w:ascii="Book Antiqua" w:hAnsi="Book Antiqua" w:cs="Arial"/>
          <w:b/>
          <w:iCs/>
          <w:color w:val="000000"/>
          <w:sz w:val="22"/>
          <w:szCs w:val="22"/>
        </w:rPr>
        <w:t>Contract</w:t>
      </w:r>
      <w:r w:rsidRPr="009B7FA4">
        <w:rPr>
          <w:rFonts w:ascii="Book Antiqua" w:hAnsi="Book Antiqua" w:cs="Arial"/>
          <w:b/>
          <w:color w:val="000000"/>
          <w:sz w:val="22"/>
          <w:szCs w:val="22"/>
        </w:rPr>
        <w:t> </w:t>
      </w:r>
      <w:r w:rsidRPr="009B7FA4">
        <w:rPr>
          <w:rFonts w:ascii="Book Antiqua" w:hAnsi="Book Antiqua" w:cs="Arial"/>
          <w:color w:val="000000"/>
          <w:sz w:val="22"/>
          <w:szCs w:val="22"/>
        </w:rPr>
        <w:t>means a l</w:t>
      </w:r>
      <w:r w:rsidR="00BC3A55">
        <w:rPr>
          <w:rFonts w:ascii="Book Antiqua" w:hAnsi="Book Antiqua" w:cs="Arial"/>
          <w:color w:val="000000"/>
          <w:sz w:val="22"/>
          <w:szCs w:val="22"/>
        </w:rPr>
        <w:t>egal instrument by which a non-f</w:t>
      </w:r>
      <w:r w:rsidRPr="009B7FA4">
        <w:rPr>
          <w:rFonts w:ascii="Book Antiqua" w:hAnsi="Book Antiqua" w:cs="Arial"/>
          <w:color w:val="000000"/>
          <w:sz w:val="22"/>
          <w:szCs w:val="22"/>
        </w:rPr>
        <w:t xml:space="preserve">ederal entity purchases property or services needed to carry out </w:t>
      </w:r>
      <w:r w:rsidR="00BC3A55">
        <w:rPr>
          <w:rFonts w:ascii="Book Antiqua" w:hAnsi="Book Antiqua" w:cs="Arial"/>
          <w:color w:val="000000"/>
          <w:sz w:val="22"/>
          <w:szCs w:val="22"/>
        </w:rPr>
        <w:t>the project or program under a f</w:t>
      </w:r>
      <w:r w:rsidRPr="009B7FA4">
        <w:rPr>
          <w:rFonts w:ascii="Book Antiqua" w:hAnsi="Book Antiqua" w:cs="Arial"/>
          <w:color w:val="000000"/>
          <w:sz w:val="22"/>
          <w:szCs w:val="22"/>
        </w:rPr>
        <w:t xml:space="preserve">ederal award. </w:t>
      </w:r>
      <w:r w:rsidR="00BC3A55">
        <w:rPr>
          <w:rFonts w:ascii="Book Antiqua" w:hAnsi="Book Antiqua" w:cs="Arial"/>
          <w:color w:val="000000"/>
          <w:sz w:val="22"/>
          <w:szCs w:val="22"/>
        </w:rPr>
        <w:t>The term contract should not be used with a subrecipient.</w:t>
      </w:r>
    </w:p>
    <w:p w:rsidR="004D5FEE" w:rsidRPr="00BC3A55" w:rsidRDefault="004D5FEE" w:rsidP="004D5FEE">
      <w:pPr>
        <w:pStyle w:val="NormalWeb"/>
        <w:shd w:val="clear" w:color="auto" w:fill="FFFFFF"/>
        <w:rPr>
          <w:rFonts w:ascii="Book Antiqua" w:hAnsi="Book Antiqua" w:cs="Arial"/>
          <w:color w:val="000000"/>
          <w:sz w:val="22"/>
          <w:szCs w:val="22"/>
        </w:rPr>
      </w:pPr>
      <w:bookmarkStart w:id="0" w:name="se2.1.200_123"/>
      <w:bookmarkEnd w:id="0"/>
      <w:r w:rsidRPr="009B7FA4">
        <w:rPr>
          <w:rFonts w:ascii="Book Antiqua" w:hAnsi="Book Antiqua" w:cs="Arial"/>
          <w:i/>
          <w:color w:val="000000"/>
          <w:sz w:val="22"/>
          <w:szCs w:val="22"/>
        </w:rPr>
        <w:t>§200.23</w:t>
      </w:r>
      <w:r w:rsidRPr="009B7FA4">
        <w:rPr>
          <w:rFonts w:ascii="Book Antiqua" w:hAnsi="Book Antiqua" w:cs="Arial"/>
          <w:color w:val="000000"/>
          <w:sz w:val="22"/>
          <w:szCs w:val="22"/>
        </w:rPr>
        <w:t> </w:t>
      </w:r>
      <w:r w:rsidRPr="009B7FA4">
        <w:rPr>
          <w:rFonts w:ascii="Book Antiqua" w:hAnsi="Book Antiqua" w:cs="Arial"/>
          <w:b/>
          <w:iCs/>
          <w:color w:val="000000"/>
          <w:sz w:val="22"/>
          <w:szCs w:val="22"/>
        </w:rPr>
        <w:t>Contractor</w:t>
      </w:r>
      <w:r w:rsidRPr="009B7FA4">
        <w:rPr>
          <w:rFonts w:ascii="Book Antiqua" w:hAnsi="Book Antiqua" w:cs="Arial"/>
          <w:b/>
          <w:color w:val="000000"/>
          <w:sz w:val="22"/>
          <w:szCs w:val="22"/>
        </w:rPr>
        <w:t> </w:t>
      </w:r>
      <w:r w:rsidRPr="009B7FA4">
        <w:rPr>
          <w:rFonts w:ascii="Book Antiqua" w:hAnsi="Book Antiqua" w:cs="Arial"/>
          <w:color w:val="000000"/>
          <w:sz w:val="22"/>
          <w:szCs w:val="22"/>
        </w:rPr>
        <w:t xml:space="preserve">means an entity that receives a contract as defined in </w:t>
      </w:r>
      <w:r w:rsidRPr="009B7FA4">
        <w:rPr>
          <w:rFonts w:ascii="Book Antiqua" w:hAnsi="Book Antiqua" w:cs="Arial"/>
          <w:i/>
          <w:color w:val="000000"/>
          <w:sz w:val="22"/>
          <w:szCs w:val="22"/>
        </w:rPr>
        <w:t>§200.22</w:t>
      </w:r>
      <w:r w:rsidR="009B7FA4" w:rsidRPr="009B7FA4">
        <w:rPr>
          <w:rFonts w:ascii="Book Antiqua" w:hAnsi="Book Antiqua" w:cs="Arial"/>
          <w:i/>
          <w:color w:val="000000"/>
          <w:sz w:val="22"/>
          <w:szCs w:val="22"/>
        </w:rPr>
        <w:t>.</w:t>
      </w:r>
    </w:p>
    <w:p w:rsidR="002729D7" w:rsidRDefault="002729D7" w:rsidP="002729D7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INSTRUCTIONS</w:t>
      </w:r>
    </w:p>
    <w:p w:rsidR="007F556C" w:rsidRDefault="009B7FA4" w:rsidP="007F556C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Complete Sections I and II of</w:t>
      </w:r>
      <w:r w:rsidR="002729D7">
        <w:rPr>
          <w:rFonts w:ascii="Book Antiqua" w:hAnsi="Book Antiqua"/>
        </w:rPr>
        <w:t xml:space="preserve"> the checklist</w:t>
      </w:r>
      <w:r w:rsidR="00AD3974">
        <w:rPr>
          <w:rFonts w:ascii="Book Antiqua" w:hAnsi="Book Antiqua"/>
        </w:rPr>
        <w:t>, with consideration of proposal narrative, budget justification, and other grant application documents</w:t>
      </w:r>
      <w:r w:rsidR="002729D7">
        <w:rPr>
          <w:rFonts w:ascii="Book Antiqua" w:hAnsi="Book Antiqua"/>
        </w:rPr>
        <w:t>. The section with t</w:t>
      </w:r>
      <w:r>
        <w:rPr>
          <w:rFonts w:ascii="Book Antiqua" w:hAnsi="Book Antiqua"/>
        </w:rPr>
        <w:t xml:space="preserve">he greatest number of marked characteristics indicates the likely type of relationship the third party will have with Fisher. </w:t>
      </w:r>
      <w:r w:rsidR="002729D7">
        <w:rPr>
          <w:rFonts w:ascii="Book Antiqua" w:hAnsi="Book Antiqua"/>
        </w:rPr>
        <w:t xml:space="preserve">Section III should </w:t>
      </w:r>
      <w:r w:rsidR="00FF422C">
        <w:rPr>
          <w:rFonts w:ascii="Book Antiqua" w:hAnsi="Book Antiqua"/>
        </w:rPr>
        <w:t xml:space="preserve">only </w:t>
      </w:r>
      <w:r w:rsidR="002729D7">
        <w:rPr>
          <w:rFonts w:ascii="Book Antiqua" w:hAnsi="Book Antiqua"/>
        </w:rPr>
        <w:t>be used to provide documentation on the use of judgment in determining the pro</w:t>
      </w:r>
      <w:r w:rsidR="00887F3F">
        <w:rPr>
          <w:rFonts w:ascii="Book Antiqua" w:hAnsi="Book Antiqua"/>
        </w:rPr>
        <w:t>per relationship classification if the determination cannot be clearly made using the criteria.</w:t>
      </w:r>
    </w:p>
    <w:p w:rsidR="007F556C" w:rsidRDefault="007F556C" w:rsidP="007F556C">
      <w:pPr>
        <w:spacing w:after="0" w:line="240" w:lineRule="auto"/>
        <w:rPr>
          <w:rFonts w:ascii="Book Antiqua" w:hAnsi="Book Antiqua"/>
          <w:color w:val="FF0000"/>
        </w:rPr>
      </w:pPr>
      <w:r>
        <w:rPr>
          <w:rFonts w:ascii="Book Antiqua" w:hAnsi="Book Antiqua"/>
          <w:color w:val="FF0000"/>
        </w:rPr>
        <w:t xml:space="preserve"> </w:t>
      </w:r>
    </w:p>
    <w:tbl>
      <w:tblPr>
        <w:tblW w:w="971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7019"/>
      </w:tblGrid>
      <w:tr w:rsidR="007F556C" w:rsidRPr="006664B2" w:rsidTr="00EF5C0C">
        <w:trPr>
          <w:trHeight w:hRule="exact" w:val="489"/>
        </w:trPr>
        <w:tc>
          <w:tcPr>
            <w:tcW w:w="2700" w:type="dxa"/>
            <w:shd w:val="clear" w:color="auto" w:fill="F2F2F2" w:themeFill="background1" w:themeFillShade="F2"/>
          </w:tcPr>
          <w:p w:rsidR="007F556C" w:rsidRPr="007B25F1" w:rsidRDefault="007F556C" w:rsidP="004356A0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  <w:szCs w:val="20"/>
              </w:rPr>
            </w:pPr>
            <w:r w:rsidRPr="007B25F1">
              <w:rPr>
                <w:rFonts w:ascii="Book Antiqua" w:hAnsi="Book Antiqua"/>
                <w:szCs w:val="20"/>
              </w:rPr>
              <w:t>Project Title</w:t>
            </w:r>
          </w:p>
        </w:tc>
        <w:tc>
          <w:tcPr>
            <w:tcW w:w="7019" w:type="dxa"/>
            <w:shd w:val="clear" w:color="auto" w:fill="F2F2F2" w:themeFill="background1" w:themeFillShade="F2"/>
          </w:tcPr>
          <w:p w:rsidR="007F556C" w:rsidRPr="007B25F1" w:rsidRDefault="007F556C" w:rsidP="004356A0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  <w:szCs w:val="20"/>
              </w:rPr>
            </w:pPr>
          </w:p>
        </w:tc>
      </w:tr>
      <w:tr w:rsidR="007F556C" w:rsidRPr="006664B2" w:rsidTr="00EF5C0C">
        <w:trPr>
          <w:trHeight w:hRule="exact" w:val="543"/>
        </w:trPr>
        <w:tc>
          <w:tcPr>
            <w:tcW w:w="2700" w:type="dxa"/>
            <w:shd w:val="clear" w:color="auto" w:fill="F2F2F2" w:themeFill="background1" w:themeFillShade="F2"/>
          </w:tcPr>
          <w:p w:rsidR="007F556C" w:rsidRPr="007B25F1" w:rsidRDefault="007F556C" w:rsidP="005F684B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Cs w:val="20"/>
              </w:rPr>
            </w:pPr>
            <w:r w:rsidRPr="007B25F1">
              <w:rPr>
                <w:rFonts w:ascii="Book Antiqua" w:hAnsi="Book Antiqua"/>
                <w:szCs w:val="20"/>
              </w:rPr>
              <w:t xml:space="preserve">St. John Fisher </w:t>
            </w:r>
            <w:r w:rsidR="005F684B">
              <w:rPr>
                <w:rFonts w:ascii="Book Antiqua" w:hAnsi="Book Antiqua"/>
                <w:szCs w:val="20"/>
              </w:rPr>
              <w:t>University</w:t>
            </w:r>
            <w:r w:rsidRPr="007B25F1">
              <w:rPr>
                <w:rFonts w:ascii="Book Antiqua" w:hAnsi="Book Antiqua"/>
                <w:szCs w:val="20"/>
              </w:rPr>
              <w:t xml:space="preserve"> PI/PD</w:t>
            </w:r>
          </w:p>
        </w:tc>
        <w:tc>
          <w:tcPr>
            <w:tcW w:w="7019" w:type="dxa"/>
            <w:shd w:val="clear" w:color="auto" w:fill="F2F2F2" w:themeFill="background1" w:themeFillShade="F2"/>
          </w:tcPr>
          <w:p w:rsidR="007F556C" w:rsidRPr="007B25F1" w:rsidRDefault="007F556C" w:rsidP="004356A0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Cs w:val="20"/>
              </w:rPr>
            </w:pPr>
          </w:p>
        </w:tc>
      </w:tr>
      <w:tr w:rsidR="007F556C" w:rsidRPr="006664B2" w:rsidTr="00EF5C0C">
        <w:trPr>
          <w:trHeight w:hRule="exact" w:val="363"/>
        </w:trPr>
        <w:tc>
          <w:tcPr>
            <w:tcW w:w="2700" w:type="dxa"/>
            <w:shd w:val="clear" w:color="auto" w:fill="F2F2F2" w:themeFill="background1" w:themeFillShade="F2"/>
          </w:tcPr>
          <w:p w:rsidR="007F556C" w:rsidRPr="007B25F1" w:rsidRDefault="0007102F" w:rsidP="004356A0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Non-Federal</w:t>
            </w:r>
            <w:r w:rsidR="002B115D">
              <w:rPr>
                <w:rFonts w:ascii="Book Antiqua" w:hAnsi="Book Antiqua"/>
                <w:szCs w:val="20"/>
              </w:rPr>
              <w:t xml:space="preserve"> entity</w:t>
            </w:r>
          </w:p>
        </w:tc>
        <w:tc>
          <w:tcPr>
            <w:tcW w:w="7019" w:type="dxa"/>
            <w:shd w:val="clear" w:color="auto" w:fill="F2F2F2" w:themeFill="background1" w:themeFillShade="F2"/>
          </w:tcPr>
          <w:p w:rsidR="007F556C" w:rsidRPr="007B25F1" w:rsidRDefault="007F556C" w:rsidP="004356A0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Cs w:val="20"/>
              </w:rPr>
            </w:pPr>
          </w:p>
        </w:tc>
      </w:tr>
    </w:tbl>
    <w:p w:rsidR="002729D7" w:rsidRDefault="002729D7" w:rsidP="00C67E6D">
      <w:pPr>
        <w:spacing w:after="0"/>
        <w:rPr>
          <w:rFonts w:ascii="Book Antiqua" w:hAnsi="Book Antiqua"/>
        </w:rPr>
      </w:pP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9900"/>
      </w:tblGrid>
      <w:tr w:rsidR="00C67E6D" w:rsidRPr="00C67E6D" w:rsidTr="00C67E6D">
        <w:tc>
          <w:tcPr>
            <w:tcW w:w="9900" w:type="dxa"/>
            <w:shd w:val="clear" w:color="auto" w:fill="000000" w:themeFill="text1"/>
          </w:tcPr>
          <w:p w:rsidR="00C67E6D" w:rsidRPr="00C67E6D" w:rsidRDefault="00C67E6D" w:rsidP="00F12332">
            <w:pPr>
              <w:rPr>
                <w:rFonts w:ascii="Book Antiqua" w:hAnsi="Book Antiqua"/>
                <w:b/>
              </w:rPr>
            </w:pPr>
            <w:r w:rsidRPr="00C67E6D">
              <w:rPr>
                <w:rFonts w:ascii="Book Antiqua" w:hAnsi="Book Antiqua"/>
                <w:b/>
                <w:color w:val="FFFFFF" w:themeColor="background1"/>
              </w:rPr>
              <w:t>SECTION I—SUBRECIPIENT CHARACTERISTICS</w:t>
            </w:r>
          </w:p>
        </w:tc>
      </w:tr>
    </w:tbl>
    <w:p w:rsidR="00B14242" w:rsidRDefault="00B14242" w:rsidP="00C67E6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 </w:t>
      </w:r>
      <w:r w:rsidRPr="00456CA1">
        <w:rPr>
          <w:rFonts w:ascii="Book Antiqua" w:hAnsi="Book Antiqua"/>
          <w:b/>
        </w:rPr>
        <w:t>subrecipient</w:t>
      </w:r>
      <w:r>
        <w:rPr>
          <w:rFonts w:ascii="Book Antiqua" w:hAnsi="Book Antiqua"/>
        </w:rPr>
        <w:t xml:space="preserve"> relationship is appropriate when the </w:t>
      </w:r>
      <w:r w:rsidR="00847B5A">
        <w:rPr>
          <w:rFonts w:ascii="Book Antiqua" w:hAnsi="Book Antiqua"/>
        </w:rPr>
        <w:t>non-f</w:t>
      </w:r>
      <w:r w:rsidR="00456CA1">
        <w:rPr>
          <w:rFonts w:ascii="Book Antiqua" w:hAnsi="Book Antiqua"/>
        </w:rPr>
        <w:t xml:space="preserve">ederal </w:t>
      </w:r>
      <w:r>
        <w:rPr>
          <w:rFonts w:ascii="Book Antiqua" w:hAnsi="Book Antiqua"/>
        </w:rPr>
        <w:t>entity</w:t>
      </w:r>
      <w:r w:rsidR="00456CA1">
        <w:rPr>
          <w:rFonts w:ascii="Book Antiqua" w:hAnsi="Book Antiqua"/>
        </w:rPr>
        <w:t xml:space="preserve"> (check all that apply)</w:t>
      </w:r>
      <w:r>
        <w:rPr>
          <w:rFonts w:ascii="Book Antiqua" w:hAnsi="Book Antiqua"/>
        </w:rPr>
        <w:t>:</w:t>
      </w:r>
    </w:p>
    <w:p w:rsidR="00B14242" w:rsidRDefault="000D109D" w:rsidP="00456CA1">
      <w:pPr>
        <w:shd w:val="clear" w:color="auto" w:fill="FFFFFF"/>
        <w:spacing w:after="0" w:line="240" w:lineRule="auto"/>
        <w:ind w:left="360"/>
        <w:rPr>
          <w:rFonts w:ascii="Book Antiqua" w:hAnsi="Book Antiqua" w:cs="Arial"/>
          <w:color w:val="1F1F1F"/>
        </w:rPr>
      </w:pPr>
      <w:sdt>
        <w:sdtPr>
          <w:rPr>
            <w:rFonts w:ascii="Book Antiqua" w:hAnsi="Book Antiqua" w:cs="Arial"/>
            <w:color w:val="1F1F1F"/>
          </w:rPr>
          <w:id w:val="-118004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CA1">
            <w:rPr>
              <w:rFonts w:ascii="MS Gothic" w:eastAsia="MS Gothic" w:hAnsi="MS Gothic" w:cs="Arial" w:hint="eastAsia"/>
              <w:color w:val="1F1F1F"/>
            </w:rPr>
            <w:t>☐</w:t>
          </w:r>
        </w:sdtContent>
      </w:sdt>
      <w:r w:rsidR="00456CA1">
        <w:rPr>
          <w:rFonts w:ascii="Book Antiqua" w:hAnsi="Book Antiqua" w:cs="Arial"/>
          <w:color w:val="1F1F1F"/>
        </w:rPr>
        <w:t>C</w:t>
      </w:r>
      <w:r w:rsidR="00B14242" w:rsidRPr="00456CA1">
        <w:rPr>
          <w:rFonts w:ascii="Book Antiqua" w:hAnsi="Book Antiqua" w:cs="Arial"/>
          <w:color w:val="1F1F1F"/>
        </w:rPr>
        <w:t>ommits to a good faith effort to complete the de</w:t>
      </w:r>
      <w:r w:rsidR="00847B5A">
        <w:rPr>
          <w:rFonts w:ascii="Book Antiqua" w:hAnsi="Book Antiqua" w:cs="Arial"/>
          <w:color w:val="1F1F1F"/>
        </w:rPr>
        <w:t>sign or conduct of the research</w:t>
      </w:r>
    </w:p>
    <w:p w:rsidR="00ED2F3E" w:rsidRDefault="000D109D" w:rsidP="00ED2F3E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F1F1F"/>
        </w:rPr>
      </w:pPr>
      <w:sdt>
        <w:sdtPr>
          <w:rPr>
            <w:rFonts w:ascii="Book Antiqua" w:hAnsi="Book Antiqua" w:cs="Arial"/>
            <w:color w:val="1F1F1F"/>
          </w:rPr>
          <w:id w:val="140018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F3E">
            <w:rPr>
              <w:rFonts w:ascii="MS Gothic" w:eastAsia="MS Gothic" w:hAnsi="MS Gothic" w:cs="Arial" w:hint="eastAsia"/>
              <w:color w:val="1F1F1F"/>
            </w:rPr>
            <w:t>☐</w:t>
          </w:r>
        </w:sdtContent>
      </w:sdt>
      <w:r w:rsidR="00ED2F3E">
        <w:rPr>
          <w:rFonts w:ascii="Book Antiqua" w:hAnsi="Book Antiqua" w:cs="Arial"/>
          <w:color w:val="1F1F1F"/>
        </w:rPr>
        <w:t>Determines who is eligible to receive what Federal assistance</w:t>
      </w:r>
    </w:p>
    <w:p w:rsidR="00B14242" w:rsidRDefault="000D109D" w:rsidP="00B14242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1F1F1F"/>
        </w:rPr>
      </w:pPr>
      <w:sdt>
        <w:sdtPr>
          <w:rPr>
            <w:rFonts w:ascii="Book Antiqua" w:hAnsi="Book Antiqua" w:cs="Arial"/>
            <w:color w:val="1F1F1F"/>
          </w:rPr>
          <w:id w:val="-82767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242">
            <w:rPr>
              <w:rFonts w:ascii="MS Gothic" w:eastAsia="MS Gothic" w:hAnsi="MS Gothic" w:cs="Arial" w:hint="eastAsia"/>
              <w:color w:val="1F1F1F"/>
            </w:rPr>
            <w:t>☐</w:t>
          </w:r>
        </w:sdtContent>
      </w:sdt>
      <w:r w:rsidR="00456CA1">
        <w:rPr>
          <w:rFonts w:ascii="Book Antiqua" w:hAnsi="Book Antiqua" w:cs="Arial"/>
          <w:color w:val="1F1F1F"/>
        </w:rPr>
        <w:t>Has a</w:t>
      </w:r>
      <w:r w:rsidR="00B14242" w:rsidRPr="00B14242">
        <w:rPr>
          <w:rFonts w:ascii="Book Antiqua" w:hAnsi="Book Antiqua" w:cs="Arial"/>
          <w:color w:val="1F1F1F"/>
        </w:rPr>
        <w:t xml:space="preserve"> principal investigator</w:t>
      </w:r>
      <w:r w:rsidR="00B14242">
        <w:rPr>
          <w:rFonts w:ascii="Book Antiqua" w:hAnsi="Book Antiqua" w:cs="Arial"/>
          <w:color w:val="1F1F1F"/>
        </w:rPr>
        <w:t xml:space="preserve"> (PI) or Project Director (PD)</w:t>
      </w:r>
      <w:r w:rsidR="00B14242" w:rsidRPr="00B14242">
        <w:rPr>
          <w:rFonts w:ascii="Book Antiqua" w:hAnsi="Book Antiqua" w:cs="Arial"/>
          <w:color w:val="1F1F1F"/>
        </w:rPr>
        <w:t xml:space="preserve"> </w:t>
      </w:r>
      <w:r w:rsidR="00847B5A">
        <w:rPr>
          <w:rFonts w:ascii="Book Antiqua" w:hAnsi="Book Antiqua" w:cs="Arial"/>
          <w:color w:val="1F1F1F"/>
        </w:rPr>
        <w:t>who functions as a Co-PI/Co-PD</w:t>
      </w:r>
    </w:p>
    <w:p w:rsidR="007F556C" w:rsidRDefault="000D109D" w:rsidP="00456CA1">
      <w:pPr>
        <w:spacing w:after="0"/>
        <w:ind w:left="360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212395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D88">
            <w:rPr>
              <w:rFonts w:ascii="MS Gothic" w:eastAsia="MS Gothic" w:hAnsi="MS Gothic" w:hint="eastAsia"/>
            </w:rPr>
            <w:t>☐</w:t>
          </w:r>
        </w:sdtContent>
      </w:sdt>
      <w:r w:rsidR="007F556C">
        <w:rPr>
          <w:rFonts w:ascii="Book Antiqua" w:hAnsi="Book Antiqua"/>
        </w:rPr>
        <w:t>Has its performance measured in relation to whether objective</w:t>
      </w:r>
      <w:r w:rsidR="00847B5A">
        <w:rPr>
          <w:rFonts w:ascii="Book Antiqua" w:hAnsi="Book Antiqua"/>
        </w:rPr>
        <w:t>s of a federal program were met</w:t>
      </w:r>
      <w:r w:rsidR="00B14242">
        <w:rPr>
          <w:rFonts w:ascii="Book Antiqua" w:hAnsi="Book Antiqua"/>
        </w:rPr>
        <w:t xml:space="preserve"> </w:t>
      </w:r>
    </w:p>
    <w:p w:rsidR="00EA0B47" w:rsidRDefault="000D109D" w:rsidP="00EA0B47">
      <w:pPr>
        <w:spacing w:after="0"/>
        <w:ind w:left="360"/>
        <w:rPr>
          <w:rFonts w:ascii="Book Antiqua" w:hAnsi="Book Antiqua"/>
        </w:rPr>
      </w:pPr>
      <w:sdt>
        <w:sdtPr>
          <w:rPr>
            <w:rFonts w:ascii="MS Gothic" w:eastAsia="MS Gothic" w:hAnsi="MS Gothic"/>
          </w:rPr>
          <w:id w:val="194904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B47" w:rsidRPr="00B14242">
            <w:rPr>
              <w:rFonts w:ascii="MS Gothic" w:eastAsia="MS Gothic" w:hAnsi="MS Gothic" w:hint="eastAsia"/>
            </w:rPr>
            <w:t>☐</w:t>
          </w:r>
        </w:sdtContent>
      </w:sdt>
      <w:r w:rsidR="00EA0B47" w:rsidRPr="00B14242">
        <w:rPr>
          <w:rFonts w:ascii="Book Antiqua" w:hAnsi="Book Antiqua"/>
        </w:rPr>
        <w:t>Has responsibility for programmatic decision making or for an important or significant portion of the sponsored project or program</w:t>
      </w:r>
    </w:p>
    <w:p w:rsidR="007F556C" w:rsidRDefault="000D109D" w:rsidP="00B14242">
      <w:pPr>
        <w:pStyle w:val="ListParagraph"/>
        <w:ind w:left="360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135468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D88">
            <w:rPr>
              <w:rFonts w:ascii="MS Gothic" w:eastAsia="MS Gothic" w:hAnsi="MS Gothic" w:hint="eastAsia"/>
            </w:rPr>
            <w:t>☐</w:t>
          </w:r>
        </w:sdtContent>
      </w:sdt>
      <w:r w:rsidR="007F556C">
        <w:rPr>
          <w:rFonts w:ascii="Book Antiqua" w:hAnsi="Book Antiqua"/>
        </w:rPr>
        <w:t>In accordance with its agreement, uses the Federal funds to carry out a program for a public purpose specified in authorizing statu</w:t>
      </w:r>
      <w:r w:rsidR="00847B5A">
        <w:rPr>
          <w:rFonts w:ascii="Book Antiqua" w:hAnsi="Book Antiqua"/>
        </w:rPr>
        <w:t>t</w:t>
      </w:r>
      <w:r w:rsidR="007F556C">
        <w:rPr>
          <w:rFonts w:ascii="Book Antiqua" w:hAnsi="Book Antiqua"/>
        </w:rPr>
        <w:t>e, as opposed to providing goods or services for the benefit of the prim</w:t>
      </w:r>
      <w:r w:rsidR="00847B5A">
        <w:rPr>
          <w:rFonts w:ascii="Book Antiqua" w:hAnsi="Book Antiqua"/>
        </w:rPr>
        <w:t>e recipient/pass-through entity</w:t>
      </w:r>
    </w:p>
    <w:p w:rsidR="00C63D88" w:rsidRPr="00C63D88" w:rsidRDefault="00C63D88" w:rsidP="00C63D88">
      <w:pPr>
        <w:rPr>
          <w:rFonts w:ascii="Book Antiqua" w:hAnsi="Book Antiqua"/>
          <w:i/>
        </w:rPr>
      </w:pPr>
      <w:r w:rsidRPr="00C63D88">
        <w:rPr>
          <w:rFonts w:ascii="Book Antiqua" w:hAnsi="Book Antiqua"/>
          <w:i/>
        </w:rPr>
        <w:t>Entities that include these characteristics are responsible for adherence to applicabl</w:t>
      </w:r>
      <w:r w:rsidR="00847B5A">
        <w:rPr>
          <w:rFonts w:ascii="Book Antiqua" w:hAnsi="Book Antiqua"/>
          <w:i/>
        </w:rPr>
        <w:t>e f</w:t>
      </w:r>
      <w:r w:rsidRPr="00C63D88">
        <w:rPr>
          <w:rFonts w:ascii="Book Antiqua" w:hAnsi="Book Antiqua"/>
          <w:i/>
        </w:rPr>
        <w:t>ederal program</w:t>
      </w:r>
      <w:r w:rsidR="00847B5A">
        <w:rPr>
          <w:rFonts w:ascii="Book Antiqua" w:hAnsi="Book Antiqua"/>
          <w:i/>
        </w:rPr>
        <w:t xml:space="preserve"> requirements specified in the f</w:t>
      </w:r>
      <w:r w:rsidRPr="00C63D88">
        <w:rPr>
          <w:rFonts w:ascii="Book Antiqua" w:hAnsi="Book Antiqua"/>
          <w:i/>
        </w:rPr>
        <w:t>ederal award.</w:t>
      </w: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9900"/>
      </w:tblGrid>
      <w:tr w:rsidR="00C67E6D" w:rsidRPr="00C67E6D" w:rsidTr="004356A0">
        <w:tc>
          <w:tcPr>
            <w:tcW w:w="9900" w:type="dxa"/>
            <w:shd w:val="clear" w:color="auto" w:fill="000000" w:themeFill="text1"/>
          </w:tcPr>
          <w:p w:rsidR="00C67E6D" w:rsidRPr="00C67E6D" w:rsidRDefault="00C67E6D" w:rsidP="00C67E6D">
            <w:pPr>
              <w:rPr>
                <w:rFonts w:ascii="Book Antiqua" w:hAnsi="Book Antiqua"/>
                <w:b/>
                <w:color w:val="FFFFFF" w:themeColor="background1"/>
              </w:rPr>
            </w:pPr>
            <w:r w:rsidRPr="00C67E6D">
              <w:rPr>
                <w:rFonts w:ascii="Book Antiqua" w:hAnsi="Book Antiqua"/>
                <w:b/>
                <w:color w:val="FFFFFF" w:themeColor="background1"/>
              </w:rPr>
              <w:t>SECTION II—CONTRACTOR CHARACTERISTICS</w:t>
            </w:r>
          </w:p>
        </w:tc>
      </w:tr>
    </w:tbl>
    <w:p w:rsidR="00456CA1" w:rsidRDefault="00456CA1" w:rsidP="00456CA1">
      <w:pPr>
        <w:rPr>
          <w:rFonts w:ascii="Book Antiqua" w:hAnsi="Book Antiqua"/>
        </w:rPr>
      </w:pPr>
      <w:r>
        <w:rPr>
          <w:rFonts w:ascii="Book Antiqua" w:hAnsi="Book Antiqua"/>
        </w:rPr>
        <w:t>A c</w:t>
      </w:r>
      <w:r w:rsidRPr="00456CA1">
        <w:rPr>
          <w:rFonts w:ascii="Book Antiqua" w:hAnsi="Book Antiqua"/>
          <w:b/>
        </w:rPr>
        <w:t xml:space="preserve">ontractor </w:t>
      </w:r>
      <w:r>
        <w:rPr>
          <w:rFonts w:ascii="Book Antiqua" w:hAnsi="Book Antiqua"/>
        </w:rPr>
        <w:t>relationsh</w:t>
      </w:r>
      <w:r w:rsidR="00847B5A">
        <w:rPr>
          <w:rFonts w:ascii="Book Antiqua" w:hAnsi="Book Antiqua"/>
        </w:rPr>
        <w:t>ip is appropriate when the non-f</w:t>
      </w:r>
      <w:r>
        <w:rPr>
          <w:rFonts w:ascii="Book Antiqua" w:hAnsi="Book Antiqua"/>
        </w:rPr>
        <w:t>ederal entity</w:t>
      </w:r>
      <w:r w:rsidR="0007102F">
        <w:rPr>
          <w:rFonts w:ascii="Book Antiqua" w:hAnsi="Book Antiqua"/>
        </w:rPr>
        <w:t xml:space="preserve"> (check all that apply)</w:t>
      </w:r>
      <w:r>
        <w:rPr>
          <w:rFonts w:ascii="Book Antiqua" w:hAnsi="Book Antiqua"/>
        </w:rPr>
        <w:t>:</w:t>
      </w:r>
    </w:p>
    <w:p w:rsidR="00456CA1" w:rsidRDefault="000D109D" w:rsidP="004758AF">
      <w:pPr>
        <w:spacing w:after="0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96840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CA1">
            <w:rPr>
              <w:rFonts w:ascii="MS Gothic" w:eastAsia="MS Gothic" w:hAnsi="MS Gothic" w:hint="eastAsia"/>
            </w:rPr>
            <w:t>☐</w:t>
          </w:r>
        </w:sdtContent>
      </w:sdt>
      <w:r w:rsidR="00456CA1">
        <w:rPr>
          <w:rFonts w:ascii="Book Antiqua" w:hAnsi="Book Antiqua"/>
        </w:rPr>
        <w:t>Is not directly responsible for programmatic decision making or research design</w:t>
      </w:r>
    </w:p>
    <w:p w:rsidR="00C63D88" w:rsidRDefault="000D109D" w:rsidP="004758AF">
      <w:pPr>
        <w:spacing w:after="0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157701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8AF">
            <w:rPr>
              <w:rFonts w:ascii="MS Gothic" w:eastAsia="MS Gothic" w:hAnsi="MS Gothic" w:hint="eastAsia"/>
            </w:rPr>
            <w:t>☐</w:t>
          </w:r>
        </w:sdtContent>
      </w:sdt>
      <w:r w:rsidR="00C63D88">
        <w:rPr>
          <w:rFonts w:ascii="Book Antiqua" w:hAnsi="Book Antiqua"/>
        </w:rPr>
        <w:t>Provides the goods and services wi</w:t>
      </w:r>
      <w:r w:rsidR="00847B5A">
        <w:rPr>
          <w:rFonts w:ascii="Book Antiqua" w:hAnsi="Book Antiqua"/>
        </w:rPr>
        <w:t>thin normal business operations</w:t>
      </w:r>
    </w:p>
    <w:p w:rsidR="00C63D88" w:rsidRDefault="000D109D" w:rsidP="004758AF">
      <w:pPr>
        <w:spacing w:after="0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114477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8AF">
            <w:rPr>
              <w:rFonts w:ascii="MS Gothic" w:eastAsia="MS Gothic" w:hAnsi="MS Gothic" w:hint="eastAsia"/>
            </w:rPr>
            <w:t>☐</w:t>
          </w:r>
        </w:sdtContent>
      </w:sdt>
      <w:r w:rsidR="00C63D88">
        <w:rPr>
          <w:rFonts w:ascii="Book Antiqua" w:hAnsi="Book Antiqua"/>
        </w:rPr>
        <w:t>Provides similar goods or servic</w:t>
      </w:r>
      <w:r w:rsidR="00847B5A">
        <w:rPr>
          <w:rFonts w:ascii="Book Antiqua" w:hAnsi="Book Antiqua"/>
        </w:rPr>
        <w:t>es to many different purchasers</w:t>
      </w:r>
    </w:p>
    <w:p w:rsidR="00C63D88" w:rsidRDefault="000D109D" w:rsidP="004758AF">
      <w:pPr>
        <w:spacing w:after="0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206105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8AF">
            <w:rPr>
              <w:rFonts w:ascii="MS Gothic" w:eastAsia="MS Gothic" w:hAnsi="MS Gothic" w:hint="eastAsia"/>
            </w:rPr>
            <w:t>☐</w:t>
          </w:r>
        </w:sdtContent>
      </w:sdt>
      <w:r w:rsidR="00C63D88">
        <w:rPr>
          <w:rFonts w:ascii="Book Antiqua" w:hAnsi="Book Antiqua"/>
        </w:rPr>
        <w:t>Normally operates in a competitive environment</w:t>
      </w:r>
    </w:p>
    <w:p w:rsidR="00C63D88" w:rsidRDefault="000D109D" w:rsidP="00C63D88">
      <w:pPr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-153688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8AF">
            <w:rPr>
              <w:rFonts w:ascii="MS Gothic" w:eastAsia="MS Gothic" w:hAnsi="MS Gothic" w:hint="eastAsia"/>
            </w:rPr>
            <w:t>☐</w:t>
          </w:r>
        </w:sdtContent>
      </w:sdt>
      <w:r w:rsidR="00C63D88">
        <w:rPr>
          <w:rFonts w:ascii="Book Antiqua" w:hAnsi="Book Antiqua"/>
        </w:rPr>
        <w:t>Provides goods or services that are ancillary to the o</w:t>
      </w:r>
      <w:r w:rsidR="00847B5A">
        <w:rPr>
          <w:rFonts w:ascii="Book Antiqua" w:hAnsi="Book Antiqua"/>
        </w:rPr>
        <w:t>peration of the Federal program</w:t>
      </w:r>
    </w:p>
    <w:p w:rsidR="00C63D88" w:rsidRDefault="00C63D88" w:rsidP="00C63D88">
      <w:pPr>
        <w:rPr>
          <w:rFonts w:ascii="Book Antiqua" w:hAnsi="Book Antiqua"/>
          <w:i/>
        </w:rPr>
      </w:pPr>
      <w:r w:rsidRPr="00C63D88">
        <w:rPr>
          <w:rFonts w:ascii="Book Antiqua" w:hAnsi="Book Antiqua"/>
          <w:i/>
        </w:rPr>
        <w:t xml:space="preserve">Entities that include these characteristics are not subject to </w:t>
      </w:r>
      <w:r w:rsidR="00847B5A">
        <w:rPr>
          <w:rFonts w:ascii="Book Antiqua" w:hAnsi="Book Antiqua"/>
          <w:i/>
        </w:rPr>
        <w:t>compliance requirements of the f</w:t>
      </w:r>
      <w:r w:rsidRPr="00C63D88">
        <w:rPr>
          <w:rFonts w:ascii="Book Antiqua" w:hAnsi="Book Antiqua"/>
          <w:i/>
        </w:rPr>
        <w:t>ederal program as a result of the agreement, though similar requirements may apply for other reasons.</w:t>
      </w: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9900"/>
      </w:tblGrid>
      <w:tr w:rsidR="00C67E6D" w:rsidRPr="00C67E6D" w:rsidTr="004356A0">
        <w:tc>
          <w:tcPr>
            <w:tcW w:w="9900" w:type="dxa"/>
            <w:shd w:val="clear" w:color="auto" w:fill="000000" w:themeFill="text1"/>
          </w:tcPr>
          <w:p w:rsidR="00C67E6D" w:rsidRPr="00C67E6D" w:rsidRDefault="00C67E6D" w:rsidP="004356A0">
            <w:pPr>
              <w:rPr>
                <w:rFonts w:ascii="Book Antiqua" w:hAnsi="Book Antiqua"/>
                <w:b/>
                <w:color w:val="FFFFFF" w:themeColor="background1"/>
              </w:rPr>
            </w:pPr>
            <w:r>
              <w:rPr>
                <w:rFonts w:ascii="Book Antiqua" w:hAnsi="Book Antiqua"/>
                <w:b/>
                <w:color w:val="FFFFFF" w:themeColor="background1"/>
              </w:rPr>
              <w:t>FINAL DETERMINATION</w:t>
            </w:r>
          </w:p>
        </w:tc>
      </w:tr>
    </w:tbl>
    <w:p w:rsidR="0007102F" w:rsidRDefault="000D109D" w:rsidP="0007102F">
      <w:pPr>
        <w:spacing w:before="240"/>
        <w:ind w:firstLine="720"/>
        <w:jc w:val="center"/>
        <w:rPr>
          <w:rFonts w:ascii="Book Antiqua" w:hAnsi="Book Antiqua"/>
          <w:b/>
        </w:rPr>
      </w:pPr>
      <w:sdt>
        <w:sdtPr>
          <w:rPr>
            <w:rFonts w:ascii="Book Antiqua" w:hAnsi="Book Antiqua"/>
            <w:b/>
          </w:rPr>
          <w:id w:val="65564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F3F">
            <w:rPr>
              <w:rFonts w:ascii="MS Gothic" w:eastAsia="MS Gothic" w:hAnsi="MS Gothic" w:hint="eastAsia"/>
              <w:b/>
            </w:rPr>
            <w:t>☐</w:t>
          </w:r>
        </w:sdtContent>
      </w:sdt>
      <w:r w:rsidR="00887F3F">
        <w:rPr>
          <w:rFonts w:ascii="Book Antiqua" w:hAnsi="Book Antiqua"/>
          <w:b/>
        </w:rPr>
        <w:t>SUBRECIPIENT</w:t>
      </w:r>
      <w:r w:rsidR="0007102F">
        <w:rPr>
          <w:rFonts w:ascii="Book Antiqua" w:hAnsi="Book Antiqua"/>
          <w:b/>
        </w:rPr>
        <w:tab/>
      </w:r>
      <w:r w:rsidR="00887F3F">
        <w:rPr>
          <w:rFonts w:ascii="Book Antiqua" w:hAnsi="Book Antiqua"/>
          <w:b/>
        </w:rPr>
        <w:tab/>
      </w:r>
      <w:sdt>
        <w:sdtPr>
          <w:rPr>
            <w:rFonts w:ascii="Book Antiqua" w:hAnsi="Book Antiqua"/>
            <w:b/>
          </w:rPr>
          <w:id w:val="-1554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F3F">
            <w:rPr>
              <w:rFonts w:ascii="MS Gothic" w:eastAsia="MS Gothic" w:hAnsi="MS Gothic" w:hint="eastAsia"/>
              <w:b/>
            </w:rPr>
            <w:t>☐</w:t>
          </w:r>
        </w:sdtContent>
      </w:sdt>
      <w:r w:rsidR="00887F3F">
        <w:rPr>
          <w:rFonts w:ascii="Book Antiqua" w:hAnsi="Book Antiqua"/>
          <w:b/>
        </w:rPr>
        <w:t>CONTRACTOR</w:t>
      </w: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9900"/>
      </w:tblGrid>
      <w:tr w:rsidR="00C67E6D" w:rsidRPr="00C67E6D" w:rsidTr="004356A0">
        <w:tc>
          <w:tcPr>
            <w:tcW w:w="9900" w:type="dxa"/>
            <w:shd w:val="clear" w:color="auto" w:fill="000000" w:themeFill="text1"/>
          </w:tcPr>
          <w:p w:rsidR="00C67E6D" w:rsidRPr="00C67E6D" w:rsidRDefault="00C67E6D">
            <w:pPr>
              <w:rPr>
                <w:rFonts w:ascii="Book Antiqua" w:hAnsi="Book Antiqua"/>
                <w:b/>
                <w:color w:val="FFFFFF" w:themeColor="background1"/>
              </w:rPr>
            </w:pPr>
            <w:r w:rsidRPr="00C67E6D">
              <w:rPr>
                <w:rFonts w:ascii="Book Antiqua" w:hAnsi="Book Antiqua"/>
                <w:b/>
                <w:color w:val="FFFFFF" w:themeColor="background1"/>
              </w:rPr>
              <w:t>SECTION II</w:t>
            </w:r>
            <w:r>
              <w:rPr>
                <w:rFonts w:ascii="Book Antiqua" w:hAnsi="Book Antiqua"/>
                <w:b/>
                <w:color w:val="FFFFFF" w:themeColor="background1"/>
              </w:rPr>
              <w:t>I</w:t>
            </w:r>
            <w:r w:rsidRPr="00C67E6D">
              <w:rPr>
                <w:rFonts w:ascii="Book Antiqua" w:hAnsi="Book Antiqua"/>
                <w:b/>
                <w:color w:val="FFFFFF" w:themeColor="background1"/>
              </w:rPr>
              <w:t>—</w:t>
            </w:r>
            <w:r>
              <w:rPr>
                <w:rFonts w:ascii="Book Antiqua" w:hAnsi="Book Antiqua"/>
                <w:b/>
                <w:color w:val="FFFFFF" w:themeColor="background1"/>
              </w:rPr>
              <w:t>USE OF JUDGMENT [</w:t>
            </w:r>
            <w:r w:rsidR="000906C0">
              <w:rPr>
                <w:rFonts w:ascii="Book Antiqua" w:hAnsi="Book Antiqua"/>
                <w:b/>
                <w:color w:val="FFFFFF" w:themeColor="background1"/>
              </w:rPr>
              <w:t xml:space="preserve">Use only when determination cannot be clearly made using the above </w:t>
            </w:r>
            <w:r w:rsidR="00ED2F3E">
              <w:rPr>
                <w:rFonts w:ascii="Book Antiqua" w:hAnsi="Book Antiqua"/>
                <w:b/>
                <w:color w:val="FFFFFF" w:themeColor="background1"/>
              </w:rPr>
              <w:t>criteria</w:t>
            </w:r>
            <w:r>
              <w:rPr>
                <w:rFonts w:ascii="Book Antiqua" w:hAnsi="Book Antiqua"/>
                <w:b/>
                <w:color w:val="FFFFFF" w:themeColor="background1"/>
              </w:rPr>
              <w:t>]</w:t>
            </w:r>
          </w:p>
        </w:tc>
      </w:tr>
    </w:tbl>
    <w:p w:rsidR="00887F3F" w:rsidRDefault="00887F3F" w:rsidP="00887F3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In determining whether the non-Federal entity should be classified as a subrecipient or a contractor, the substance of the relationship is most important. If the prime recipient (St. John Fisher </w:t>
      </w:r>
      <w:r w:rsidR="005F684B">
        <w:rPr>
          <w:rFonts w:ascii="Book Antiqua" w:hAnsi="Book Antiqua"/>
        </w:rPr>
        <w:t>University</w:t>
      </w:r>
      <w:bookmarkStart w:id="1" w:name="_GoBack"/>
      <w:bookmarkEnd w:id="1"/>
      <w:r>
        <w:rPr>
          <w:rFonts w:ascii="Book Antiqua" w:hAnsi="Book Antiqua"/>
        </w:rPr>
        <w:t>) must use judgment in classifying the non-Federal entity as a subrecipient or a contractor, the explanation of the use of judgment is below:</w:t>
      </w:r>
    </w:p>
    <w:tbl>
      <w:tblPr>
        <w:tblStyle w:val="TableGrid"/>
        <w:tblW w:w="9974" w:type="dxa"/>
        <w:tblInd w:w="-185" w:type="dxa"/>
        <w:tblLook w:val="04A0" w:firstRow="1" w:lastRow="0" w:firstColumn="1" w:lastColumn="0" w:noHBand="0" w:noVBand="1"/>
      </w:tblPr>
      <w:tblGrid>
        <w:gridCol w:w="9974"/>
      </w:tblGrid>
      <w:tr w:rsidR="00887F3F" w:rsidTr="00EF5C0C">
        <w:trPr>
          <w:trHeight w:val="755"/>
        </w:trPr>
        <w:tc>
          <w:tcPr>
            <w:tcW w:w="9974" w:type="dxa"/>
          </w:tcPr>
          <w:p w:rsidR="00887F3F" w:rsidRDefault="00887F3F" w:rsidP="00887F3F">
            <w:pPr>
              <w:rPr>
                <w:rFonts w:ascii="Book Antiqua" w:hAnsi="Book Antiqua"/>
              </w:rPr>
            </w:pPr>
          </w:p>
        </w:tc>
      </w:tr>
    </w:tbl>
    <w:p w:rsidR="0007102F" w:rsidRDefault="0007102F" w:rsidP="0007102F">
      <w:pPr>
        <w:spacing w:after="0"/>
        <w:rPr>
          <w:rFonts w:ascii="Book Antiqua" w:hAnsi="Book Antiqua"/>
        </w:rPr>
      </w:pPr>
    </w:p>
    <w:p w:rsidR="002B115D" w:rsidRDefault="0007102F" w:rsidP="00847B5A">
      <w:pPr>
        <w:rPr>
          <w:rFonts w:ascii="Book Antiqua" w:hAnsi="Book Antiqua"/>
          <w:b/>
        </w:rPr>
      </w:pPr>
      <w:r w:rsidRPr="0007102F">
        <w:rPr>
          <w:rFonts w:ascii="Book Antiqua" w:hAnsi="Book Antiqua"/>
          <w:b/>
        </w:rPr>
        <w:t>Prepared by_________________________________________</w:t>
      </w:r>
      <w:r w:rsidRPr="0007102F">
        <w:rPr>
          <w:rFonts w:ascii="Book Antiqua" w:hAnsi="Book Antiqua"/>
          <w:b/>
        </w:rPr>
        <w:tab/>
        <w:t>Date______________________</w:t>
      </w:r>
    </w:p>
    <w:p w:rsidR="0007102F" w:rsidRPr="0007102F" w:rsidRDefault="00847B5A" w:rsidP="0007102F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Signature___________________________________________</w:t>
      </w:r>
    </w:p>
    <w:p w:rsidR="0007102F" w:rsidRPr="0007102F" w:rsidRDefault="0007102F" w:rsidP="0007102F">
      <w:pPr>
        <w:spacing w:after="0"/>
        <w:rPr>
          <w:rFonts w:ascii="Book Antiqua" w:hAnsi="Book Antiqua"/>
          <w:b/>
        </w:rPr>
      </w:pPr>
    </w:p>
    <w:p w:rsidR="0007102F" w:rsidRDefault="0007102F" w:rsidP="00887F3F">
      <w:pPr>
        <w:rPr>
          <w:rFonts w:ascii="Book Antiqua" w:hAnsi="Book Antiqua"/>
          <w:b/>
        </w:rPr>
      </w:pPr>
      <w:r w:rsidRPr="0007102F">
        <w:rPr>
          <w:rFonts w:ascii="Book Antiqua" w:hAnsi="Book Antiqua"/>
          <w:b/>
        </w:rPr>
        <w:t xml:space="preserve">Reviewed by_______________________________________ </w:t>
      </w:r>
      <w:r w:rsidRPr="0007102F">
        <w:rPr>
          <w:rFonts w:ascii="Book Antiqua" w:hAnsi="Book Antiqua"/>
          <w:b/>
        </w:rPr>
        <w:tab/>
        <w:t>Date______________________</w:t>
      </w:r>
    </w:p>
    <w:p w:rsidR="00847B5A" w:rsidRPr="0007102F" w:rsidRDefault="00847B5A" w:rsidP="00887F3F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Signature______________________________________________________________________</w:t>
      </w:r>
    </w:p>
    <w:p w:rsidR="002C10B9" w:rsidRDefault="002C10B9" w:rsidP="00887F3F">
      <w:pPr>
        <w:rPr>
          <w:rFonts w:ascii="Book Antiqua" w:hAnsi="Book Antiqua"/>
          <w:i/>
        </w:rPr>
      </w:pPr>
    </w:p>
    <w:p w:rsidR="002B115D" w:rsidRPr="002B115D" w:rsidRDefault="002B115D" w:rsidP="00887F3F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This form complies with </w:t>
      </w:r>
      <w:r w:rsidRPr="002B115D">
        <w:rPr>
          <w:rFonts w:ascii="Garamond" w:hAnsi="Garamond" w:cs="Arial"/>
          <w:i/>
          <w:color w:val="1F1F1F"/>
          <w:shd w:val="clear" w:color="auto" w:fill="FFFFFF"/>
        </w:rPr>
        <w:t>2 CFR §200.330</w:t>
      </w:r>
      <w:r>
        <w:rPr>
          <w:rFonts w:ascii="Book Antiqua" w:hAnsi="Book Antiqua"/>
          <w:i/>
        </w:rPr>
        <w:t xml:space="preserve"> </w:t>
      </w:r>
    </w:p>
    <w:sectPr w:rsidR="002B115D" w:rsidRPr="002B115D" w:rsidSect="0007102F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B65"/>
    <w:multiLevelType w:val="multilevel"/>
    <w:tmpl w:val="361E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8547B"/>
    <w:multiLevelType w:val="hybridMultilevel"/>
    <w:tmpl w:val="80D0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C761B"/>
    <w:multiLevelType w:val="hybridMultilevel"/>
    <w:tmpl w:val="92C2B68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36494095"/>
    <w:multiLevelType w:val="hybridMultilevel"/>
    <w:tmpl w:val="A48E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45F64"/>
    <w:multiLevelType w:val="hybridMultilevel"/>
    <w:tmpl w:val="6A48D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363EF"/>
    <w:multiLevelType w:val="hybridMultilevel"/>
    <w:tmpl w:val="8560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B6441"/>
    <w:multiLevelType w:val="hybridMultilevel"/>
    <w:tmpl w:val="C5200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51"/>
    <w:rsid w:val="0007102F"/>
    <w:rsid w:val="00076A9C"/>
    <w:rsid w:val="000906C0"/>
    <w:rsid w:val="000A770D"/>
    <w:rsid w:val="000C3051"/>
    <w:rsid w:val="000D109D"/>
    <w:rsid w:val="002729D7"/>
    <w:rsid w:val="002A4FFF"/>
    <w:rsid w:val="002B115D"/>
    <w:rsid w:val="002C10B9"/>
    <w:rsid w:val="003537B2"/>
    <w:rsid w:val="003806EC"/>
    <w:rsid w:val="003E7740"/>
    <w:rsid w:val="00407943"/>
    <w:rsid w:val="00456CA1"/>
    <w:rsid w:val="004758AF"/>
    <w:rsid w:val="004D3FB8"/>
    <w:rsid w:val="004D5FEE"/>
    <w:rsid w:val="005B54A1"/>
    <w:rsid w:val="005D325D"/>
    <w:rsid w:val="005F684B"/>
    <w:rsid w:val="00610D43"/>
    <w:rsid w:val="006F5580"/>
    <w:rsid w:val="00700F58"/>
    <w:rsid w:val="007228BB"/>
    <w:rsid w:val="007E02DB"/>
    <w:rsid w:val="007F0989"/>
    <w:rsid w:val="007F556C"/>
    <w:rsid w:val="008139EC"/>
    <w:rsid w:val="00847B5A"/>
    <w:rsid w:val="00851392"/>
    <w:rsid w:val="00887F3F"/>
    <w:rsid w:val="008F6B77"/>
    <w:rsid w:val="009557C5"/>
    <w:rsid w:val="009A47DD"/>
    <w:rsid w:val="009B7FA4"/>
    <w:rsid w:val="009E21A7"/>
    <w:rsid w:val="00A21784"/>
    <w:rsid w:val="00A547F2"/>
    <w:rsid w:val="00AD3974"/>
    <w:rsid w:val="00B12DBA"/>
    <w:rsid w:val="00B14242"/>
    <w:rsid w:val="00B434D5"/>
    <w:rsid w:val="00BC3A55"/>
    <w:rsid w:val="00C63D88"/>
    <w:rsid w:val="00C67E6D"/>
    <w:rsid w:val="00C703EB"/>
    <w:rsid w:val="00C81256"/>
    <w:rsid w:val="00C8646C"/>
    <w:rsid w:val="00D348A0"/>
    <w:rsid w:val="00D358D8"/>
    <w:rsid w:val="00DA0596"/>
    <w:rsid w:val="00EA0B47"/>
    <w:rsid w:val="00ED2F3E"/>
    <w:rsid w:val="00EF5C0C"/>
    <w:rsid w:val="00F25FF9"/>
    <w:rsid w:val="00F95A6C"/>
    <w:rsid w:val="00FA35BF"/>
    <w:rsid w:val="00FC335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F0BE0"/>
  <w15:chartTrackingRefBased/>
  <w15:docId w15:val="{915F560D-3171-4B94-A5EC-14874B97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06EC"/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06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806EC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380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6EC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06E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06E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806EC"/>
    <w:pPr>
      <w:spacing w:after="0" w:line="240" w:lineRule="auto"/>
    </w:pPr>
    <w:rPr>
      <w:rFonts w:ascii="Calibri" w:eastAsia="Calibri" w:hAnsi="Calibri" w:cs="Calibri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6E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806EC"/>
    <w:rPr>
      <w:b/>
      <w:bCs/>
    </w:rPr>
  </w:style>
  <w:style w:type="paragraph" w:styleId="NormalWeb">
    <w:name w:val="Normal (Web)"/>
    <w:basedOn w:val="Normal"/>
    <w:uiPriority w:val="99"/>
    <w:unhideWhenUsed/>
    <w:rsid w:val="0038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teindent1">
    <w:name w:val="rteindent1"/>
    <w:basedOn w:val="Normal"/>
    <w:rsid w:val="0038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06E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BF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D32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46C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FEE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customStyle="1" w:styleId="fp">
    <w:name w:val="fp"/>
    <w:basedOn w:val="Normal"/>
    <w:rsid w:val="004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F556C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paragraph" w:styleId="NoSpacing">
    <w:name w:val="No Spacing"/>
    <w:uiPriority w:val="1"/>
    <w:qFormat/>
    <w:rsid w:val="00AD3974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emperley\Downloads\Subrecipient_v_Contractor_TEMPLATE%20(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1443-1D2A-44EF-A3B5-8CDCBB03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Subrecipient_v_Contractor_TEMPLATE (10)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Clayton, Nicole A</cp:lastModifiedBy>
  <cp:revision>2</cp:revision>
  <dcterms:created xsi:type="dcterms:W3CDTF">2022-09-30T16:37:00Z</dcterms:created>
  <dcterms:modified xsi:type="dcterms:W3CDTF">2022-09-30T16:37:00Z</dcterms:modified>
</cp:coreProperties>
</file>